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7D06E" w14:textId="77777777" w:rsidR="006B7F4D" w:rsidRPr="00FA5A13" w:rsidRDefault="006B7F4D" w:rsidP="006B7F4D">
      <w:pPr>
        <w:autoSpaceDE w:val="0"/>
        <w:autoSpaceDN w:val="0"/>
        <w:adjustRightInd w:val="0"/>
        <w:spacing w:before="120"/>
        <w:jc w:val="both"/>
        <w:rPr>
          <w:rFonts w:ascii="Arial" w:hAnsi="Arial" w:cs="Arial"/>
        </w:rPr>
      </w:pPr>
      <w:r w:rsidRPr="00FA5A13">
        <w:rPr>
          <w:rFonts w:ascii="Arial" w:hAnsi="Arial" w:cs="Arial"/>
          <w:b/>
          <w:bCs/>
        </w:rPr>
        <w:t xml:space="preserve">The Gender Profile of our workforce at Age UK Hertfordshire </w:t>
      </w:r>
    </w:p>
    <w:p w14:paraId="7A83ED24" w14:textId="5B31DD85" w:rsidR="006B7F4D" w:rsidRDefault="00837F02" w:rsidP="006B7F4D">
      <w:pPr>
        <w:autoSpaceDE w:val="0"/>
        <w:autoSpaceDN w:val="0"/>
        <w:adjustRightInd w:val="0"/>
        <w:spacing w:before="120"/>
        <w:jc w:val="both"/>
        <w:rPr>
          <w:rFonts w:ascii="Arial" w:hAnsi="Arial" w:cs="Arial"/>
          <w:color w:val="000000"/>
        </w:rPr>
      </w:pPr>
      <w:r>
        <w:rPr>
          <w:rFonts w:ascii="Arial" w:hAnsi="Arial" w:cs="Arial"/>
          <w:color w:val="000000"/>
        </w:rPr>
        <w:t>On 5</w:t>
      </w:r>
      <w:r w:rsidR="0053443B" w:rsidRPr="0053443B">
        <w:rPr>
          <w:rFonts w:ascii="Arial" w:hAnsi="Arial" w:cs="Arial"/>
          <w:color w:val="000000"/>
          <w:vertAlign w:val="superscript"/>
        </w:rPr>
        <w:t>th</w:t>
      </w:r>
      <w:r w:rsidR="0053443B">
        <w:rPr>
          <w:rFonts w:ascii="Arial" w:hAnsi="Arial" w:cs="Arial"/>
          <w:color w:val="000000"/>
        </w:rPr>
        <w:t xml:space="preserve"> </w:t>
      </w:r>
      <w:r>
        <w:rPr>
          <w:rFonts w:ascii="Arial" w:hAnsi="Arial" w:cs="Arial"/>
          <w:color w:val="000000"/>
        </w:rPr>
        <w:t xml:space="preserve">April </w:t>
      </w:r>
      <w:r w:rsidRPr="0062655F">
        <w:rPr>
          <w:rFonts w:ascii="Arial" w:hAnsi="Arial" w:cs="Arial"/>
          <w:color w:val="000000"/>
        </w:rPr>
        <w:t>202</w:t>
      </w:r>
      <w:r w:rsidR="00AB2115">
        <w:rPr>
          <w:rFonts w:ascii="Arial" w:hAnsi="Arial" w:cs="Arial"/>
          <w:color w:val="000000"/>
        </w:rPr>
        <w:t>3</w:t>
      </w:r>
      <w:r w:rsidR="006B7F4D" w:rsidRPr="0062655F">
        <w:rPr>
          <w:rFonts w:ascii="Arial" w:hAnsi="Arial" w:cs="Arial"/>
          <w:color w:val="000000"/>
        </w:rPr>
        <w:t xml:space="preserve"> </w:t>
      </w:r>
      <w:r w:rsidR="00DA5885">
        <w:rPr>
          <w:rFonts w:ascii="Arial" w:hAnsi="Arial" w:cs="Arial"/>
        </w:rPr>
        <w:t>95.65</w:t>
      </w:r>
      <w:r w:rsidR="006B7F4D" w:rsidRPr="0062655F">
        <w:rPr>
          <w:rFonts w:ascii="Arial" w:hAnsi="Arial" w:cs="Arial"/>
        </w:rPr>
        <w:t>%</w:t>
      </w:r>
      <w:r w:rsidR="006B7F4D" w:rsidRPr="00837F02">
        <w:rPr>
          <w:rFonts w:ascii="Arial" w:hAnsi="Arial" w:cs="Arial"/>
        </w:rPr>
        <w:t xml:space="preserve"> </w:t>
      </w:r>
      <w:r w:rsidR="006B7F4D" w:rsidRPr="00FA5A13">
        <w:rPr>
          <w:rFonts w:ascii="Arial" w:hAnsi="Arial" w:cs="Arial"/>
          <w:color w:val="000000"/>
        </w:rPr>
        <w:t>of Age UK Hertfordshire’s workforce were female</w:t>
      </w:r>
      <w:r w:rsidR="006B7F4D">
        <w:rPr>
          <w:rFonts w:ascii="Arial" w:hAnsi="Arial" w:cs="Arial"/>
          <w:color w:val="000000"/>
        </w:rPr>
        <w:t xml:space="preserve">, </w:t>
      </w:r>
      <w:r w:rsidR="009335AF">
        <w:rPr>
          <w:rFonts w:ascii="Arial" w:hAnsi="Arial" w:cs="Arial"/>
          <w:color w:val="000000"/>
        </w:rPr>
        <w:t>which</w:t>
      </w:r>
      <w:r w:rsidR="006B7F4D">
        <w:rPr>
          <w:rFonts w:ascii="Arial" w:hAnsi="Arial" w:cs="Arial"/>
          <w:color w:val="000000"/>
        </w:rPr>
        <w:t xml:space="preserve"> </w:t>
      </w:r>
      <w:r w:rsidR="00B550D4">
        <w:rPr>
          <w:rFonts w:ascii="Arial" w:hAnsi="Arial" w:cs="Arial"/>
          <w:color w:val="000000"/>
        </w:rPr>
        <w:t>is</w:t>
      </w:r>
      <w:r w:rsidR="007E4193">
        <w:rPr>
          <w:rFonts w:ascii="Arial" w:hAnsi="Arial" w:cs="Arial"/>
          <w:color w:val="000000"/>
        </w:rPr>
        <w:t xml:space="preserve"> </w:t>
      </w:r>
      <w:r w:rsidR="003F6208">
        <w:rPr>
          <w:rFonts w:ascii="Arial" w:hAnsi="Arial" w:cs="Arial"/>
          <w:color w:val="000000"/>
        </w:rPr>
        <w:t>the same figure as the previous year.</w:t>
      </w:r>
      <w:r w:rsidR="006B7F4D" w:rsidRPr="00FA5A13">
        <w:rPr>
          <w:rFonts w:ascii="Arial" w:hAnsi="Arial" w:cs="Arial"/>
          <w:color w:val="000000"/>
        </w:rPr>
        <w:t xml:space="preserve">  Whilst this is a very high proportion</w:t>
      </w:r>
      <w:r w:rsidR="009335AF">
        <w:rPr>
          <w:rFonts w:ascii="Arial" w:hAnsi="Arial" w:cs="Arial"/>
          <w:color w:val="000000"/>
        </w:rPr>
        <w:t>,</w:t>
      </w:r>
      <w:r w:rsidR="006B7F4D" w:rsidRPr="00FA5A13">
        <w:rPr>
          <w:rFonts w:ascii="Arial" w:hAnsi="Arial" w:cs="Arial"/>
          <w:color w:val="000000"/>
        </w:rPr>
        <w:t xml:space="preserve"> this gender profile is </w:t>
      </w:r>
      <w:r w:rsidR="00A4464A" w:rsidRPr="00FA5A13">
        <w:rPr>
          <w:rFonts w:ascii="Arial" w:hAnsi="Arial" w:cs="Arial"/>
          <w:color w:val="000000"/>
        </w:rPr>
        <w:t>common</w:t>
      </w:r>
      <w:r w:rsidR="006B7F4D" w:rsidRPr="00FA5A13">
        <w:rPr>
          <w:rFonts w:ascii="Arial" w:hAnsi="Arial" w:cs="Arial"/>
          <w:color w:val="000000"/>
        </w:rPr>
        <w:t xml:space="preserve"> within the voluntary sector and parti</w:t>
      </w:r>
      <w:r w:rsidR="009335AF">
        <w:rPr>
          <w:rFonts w:ascii="Arial" w:hAnsi="Arial" w:cs="Arial"/>
          <w:color w:val="000000"/>
        </w:rPr>
        <w:t>cularly so for a charity</w:t>
      </w:r>
      <w:r w:rsidR="006B7F4D" w:rsidRPr="00FA5A13">
        <w:rPr>
          <w:rFonts w:ascii="Arial" w:hAnsi="Arial" w:cs="Arial"/>
          <w:color w:val="000000"/>
        </w:rPr>
        <w:t xml:space="preserve"> operating in the health and social care sector.</w:t>
      </w:r>
    </w:p>
    <w:p w14:paraId="11283757" w14:textId="77777777" w:rsidR="0089680C" w:rsidRDefault="0089680C" w:rsidP="006B7F4D">
      <w:pPr>
        <w:autoSpaceDE w:val="0"/>
        <w:autoSpaceDN w:val="0"/>
        <w:adjustRightInd w:val="0"/>
        <w:spacing w:before="120"/>
        <w:jc w:val="both"/>
        <w:rPr>
          <w:rFonts w:ascii="Arial" w:hAnsi="Arial" w:cs="Arial"/>
          <w:color w:val="000000"/>
        </w:rPr>
      </w:pPr>
    </w:p>
    <w:p w14:paraId="322D6E79" w14:textId="77777777" w:rsidR="006B7F4D" w:rsidRPr="00FA5A13" w:rsidRDefault="006B7F4D" w:rsidP="006B7F4D">
      <w:pPr>
        <w:autoSpaceDE w:val="0"/>
        <w:autoSpaceDN w:val="0"/>
        <w:adjustRightInd w:val="0"/>
        <w:spacing w:before="120"/>
        <w:jc w:val="both"/>
        <w:rPr>
          <w:rFonts w:ascii="Arial" w:hAnsi="Arial" w:cs="Arial"/>
          <w:b/>
          <w:bCs/>
        </w:rPr>
      </w:pPr>
      <w:r w:rsidRPr="00FA5A13">
        <w:rPr>
          <w:rFonts w:ascii="Arial" w:hAnsi="Arial" w:cs="Arial"/>
          <w:b/>
          <w:bCs/>
        </w:rPr>
        <w:t xml:space="preserve">Age UK Hertfordshire’s gender pay-gap </w:t>
      </w:r>
    </w:p>
    <w:p w14:paraId="13F3DD1E" w14:textId="2AD8837E" w:rsidR="006B7F4D" w:rsidRPr="00D73912" w:rsidRDefault="006B7F4D" w:rsidP="006B7F4D">
      <w:pPr>
        <w:autoSpaceDE w:val="0"/>
        <w:autoSpaceDN w:val="0"/>
        <w:adjustRightInd w:val="0"/>
        <w:spacing w:before="120"/>
        <w:jc w:val="both"/>
        <w:rPr>
          <w:rFonts w:ascii="Arial" w:hAnsi="Arial" w:cs="Arial"/>
          <w:color w:val="000000"/>
        </w:rPr>
      </w:pPr>
      <w:r w:rsidRPr="00FA5A13">
        <w:rPr>
          <w:rFonts w:ascii="Arial" w:hAnsi="Arial" w:cs="Arial"/>
          <w:color w:val="000000"/>
        </w:rPr>
        <w:t xml:space="preserve">Age UK Hertfordshire has reported on </w:t>
      </w:r>
      <w:r w:rsidR="009E264A">
        <w:rPr>
          <w:rFonts w:ascii="Arial" w:hAnsi="Arial" w:cs="Arial"/>
          <w:color w:val="000000"/>
        </w:rPr>
        <w:t>the gender pay gap annually since 2018</w:t>
      </w:r>
      <w:r w:rsidRPr="00FA5A13">
        <w:rPr>
          <w:rFonts w:ascii="Arial" w:hAnsi="Arial" w:cs="Arial"/>
          <w:color w:val="000000"/>
        </w:rPr>
        <w:t xml:space="preserve">, </w:t>
      </w:r>
      <w:r w:rsidR="009E264A">
        <w:rPr>
          <w:rFonts w:ascii="Arial" w:hAnsi="Arial" w:cs="Arial"/>
          <w:color w:val="000000"/>
        </w:rPr>
        <w:t xml:space="preserve">for </w:t>
      </w:r>
      <w:r w:rsidRPr="00FA5A13">
        <w:rPr>
          <w:rFonts w:ascii="Arial" w:hAnsi="Arial" w:cs="Arial"/>
          <w:color w:val="000000"/>
        </w:rPr>
        <w:t xml:space="preserve">which </w:t>
      </w:r>
      <w:r w:rsidR="009E264A">
        <w:rPr>
          <w:rFonts w:ascii="Arial" w:hAnsi="Arial" w:cs="Arial"/>
          <w:color w:val="000000"/>
        </w:rPr>
        <w:t xml:space="preserve">the current data </w:t>
      </w:r>
      <w:r w:rsidRPr="00FA5A13">
        <w:rPr>
          <w:rFonts w:ascii="Arial" w:hAnsi="Arial" w:cs="Arial"/>
          <w:color w:val="000000"/>
        </w:rPr>
        <w:t>has been calculated on th</w:t>
      </w:r>
      <w:r w:rsidR="00837F02">
        <w:rPr>
          <w:rFonts w:ascii="Arial" w:hAnsi="Arial" w:cs="Arial"/>
          <w:color w:val="000000"/>
        </w:rPr>
        <w:t>e ‘snapshot date’ of 5</w:t>
      </w:r>
      <w:r w:rsidR="006931F4" w:rsidRPr="006931F4">
        <w:rPr>
          <w:rFonts w:ascii="Arial" w:hAnsi="Arial" w:cs="Arial"/>
          <w:color w:val="000000"/>
          <w:vertAlign w:val="superscript"/>
        </w:rPr>
        <w:t>th</w:t>
      </w:r>
      <w:r w:rsidR="006931F4">
        <w:rPr>
          <w:rFonts w:ascii="Arial" w:hAnsi="Arial" w:cs="Arial"/>
          <w:color w:val="000000"/>
        </w:rPr>
        <w:t xml:space="preserve"> </w:t>
      </w:r>
      <w:r w:rsidR="00837F02">
        <w:rPr>
          <w:rFonts w:ascii="Arial" w:hAnsi="Arial" w:cs="Arial"/>
          <w:color w:val="000000"/>
        </w:rPr>
        <w:t>April 202</w:t>
      </w:r>
      <w:r w:rsidR="002D6536">
        <w:rPr>
          <w:rFonts w:ascii="Arial" w:hAnsi="Arial" w:cs="Arial"/>
          <w:color w:val="000000"/>
        </w:rPr>
        <w:t>3</w:t>
      </w:r>
      <w:r w:rsidRPr="00FA5A13">
        <w:rPr>
          <w:rFonts w:ascii="Arial" w:hAnsi="Arial" w:cs="Arial"/>
          <w:color w:val="000000"/>
        </w:rPr>
        <w:t xml:space="preserve"> and </w:t>
      </w:r>
      <w:r w:rsidRPr="00D73912">
        <w:rPr>
          <w:rFonts w:ascii="Arial" w:hAnsi="Arial" w:cs="Arial"/>
          <w:color w:val="000000"/>
        </w:rPr>
        <w:t xml:space="preserve">is as follows: </w:t>
      </w:r>
    </w:p>
    <w:p w14:paraId="0D76947B" w14:textId="0251D289" w:rsidR="006B7F4D" w:rsidRPr="00D73912" w:rsidRDefault="006B7F4D" w:rsidP="006B7F4D">
      <w:pPr>
        <w:numPr>
          <w:ilvl w:val="0"/>
          <w:numId w:val="12"/>
        </w:numPr>
        <w:autoSpaceDE w:val="0"/>
        <w:autoSpaceDN w:val="0"/>
        <w:adjustRightInd w:val="0"/>
        <w:spacing w:before="120"/>
        <w:jc w:val="both"/>
        <w:rPr>
          <w:rFonts w:ascii="Arial" w:hAnsi="Arial" w:cs="Arial"/>
          <w:b/>
        </w:rPr>
      </w:pPr>
      <w:r w:rsidRPr="00D73912">
        <w:rPr>
          <w:rFonts w:ascii="Arial" w:hAnsi="Arial" w:cs="Arial"/>
          <w:color w:val="000000"/>
        </w:rPr>
        <w:t xml:space="preserve">The </w:t>
      </w:r>
      <w:r w:rsidRPr="00D73912">
        <w:rPr>
          <w:rFonts w:ascii="Arial" w:hAnsi="Arial" w:cs="Arial"/>
          <w:b/>
          <w:bCs/>
          <w:color w:val="000000"/>
        </w:rPr>
        <w:t>mean</w:t>
      </w:r>
      <w:r w:rsidRPr="00D73912">
        <w:rPr>
          <w:rFonts w:ascii="Arial" w:hAnsi="Arial" w:cs="Arial"/>
          <w:color w:val="000000"/>
        </w:rPr>
        <w:t xml:space="preserve"> gender pay gap for Age UK Hertfordshire is </w:t>
      </w:r>
      <w:r w:rsidR="00D46450" w:rsidRPr="00D46450">
        <w:rPr>
          <w:rFonts w:ascii="Arial" w:hAnsi="Arial" w:cs="Arial"/>
          <w:b/>
          <w:color w:val="000000"/>
        </w:rPr>
        <w:t>15.48%</w:t>
      </w:r>
    </w:p>
    <w:p w14:paraId="192AD83A" w14:textId="0300F742" w:rsidR="006B7F4D" w:rsidRPr="00D73912" w:rsidRDefault="006B7F4D" w:rsidP="006B7F4D">
      <w:pPr>
        <w:numPr>
          <w:ilvl w:val="0"/>
          <w:numId w:val="12"/>
        </w:numPr>
        <w:autoSpaceDE w:val="0"/>
        <w:autoSpaceDN w:val="0"/>
        <w:adjustRightInd w:val="0"/>
        <w:spacing w:before="120"/>
        <w:jc w:val="both"/>
        <w:rPr>
          <w:rFonts w:ascii="Arial" w:hAnsi="Arial" w:cs="Arial"/>
        </w:rPr>
      </w:pPr>
      <w:r w:rsidRPr="00D73912">
        <w:rPr>
          <w:rFonts w:ascii="Arial" w:hAnsi="Arial" w:cs="Arial"/>
          <w:color w:val="000000"/>
        </w:rPr>
        <w:t xml:space="preserve">The </w:t>
      </w:r>
      <w:r w:rsidRPr="00D73912">
        <w:rPr>
          <w:rFonts w:ascii="Arial" w:hAnsi="Arial" w:cs="Arial"/>
          <w:b/>
          <w:bCs/>
          <w:color w:val="000000"/>
        </w:rPr>
        <w:t xml:space="preserve">median </w:t>
      </w:r>
      <w:r w:rsidRPr="00D73912">
        <w:rPr>
          <w:rFonts w:ascii="Arial" w:hAnsi="Arial" w:cs="Arial"/>
          <w:color w:val="000000"/>
        </w:rPr>
        <w:t xml:space="preserve">gender pay gap for Age UK </w:t>
      </w:r>
      <w:r w:rsidRPr="00AE42C6">
        <w:rPr>
          <w:rFonts w:ascii="Arial" w:hAnsi="Arial" w:cs="Arial"/>
          <w:color w:val="000000"/>
        </w:rPr>
        <w:t xml:space="preserve">Hertfordshire </w:t>
      </w:r>
      <w:r w:rsidR="00073022" w:rsidRPr="00AE42C6">
        <w:rPr>
          <w:rFonts w:ascii="Arial" w:hAnsi="Arial" w:cs="Arial"/>
          <w:color w:val="000000"/>
        </w:rPr>
        <w:t xml:space="preserve">is </w:t>
      </w:r>
      <w:r w:rsidR="00320633" w:rsidRPr="00320633">
        <w:rPr>
          <w:rFonts w:ascii="Arial" w:hAnsi="Arial" w:cs="Arial"/>
          <w:b/>
          <w:color w:val="000000"/>
        </w:rPr>
        <w:t>3.90</w:t>
      </w:r>
      <w:r w:rsidRPr="00AE42C6">
        <w:rPr>
          <w:rFonts w:ascii="Arial" w:hAnsi="Arial" w:cs="Arial"/>
          <w:b/>
          <w:bCs/>
          <w:color w:val="000000"/>
        </w:rPr>
        <w:t>%</w:t>
      </w:r>
      <w:r w:rsidRPr="00D73912">
        <w:rPr>
          <w:rFonts w:ascii="Arial" w:hAnsi="Arial" w:cs="Arial"/>
          <w:color w:val="000000"/>
        </w:rPr>
        <w:t xml:space="preserve"> </w:t>
      </w:r>
    </w:p>
    <w:p w14:paraId="3BB2238D" w14:textId="37BB1BF8" w:rsidR="006666F2" w:rsidRPr="00AE42C6" w:rsidRDefault="006B7F4D" w:rsidP="00AE42C6">
      <w:pPr>
        <w:numPr>
          <w:ilvl w:val="0"/>
          <w:numId w:val="12"/>
        </w:numPr>
        <w:autoSpaceDE w:val="0"/>
        <w:autoSpaceDN w:val="0"/>
        <w:adjustRightInd w:val="0"/>
        <w:spacing w:before="120" w:after="240"/>
        <w:jc w:val="both"/>
        <w:rPr>
          <w:rFonts w:ascii="Arial" w:hAnsi="Arial" w:cs="Arial"/>
        </w:rPr>
      </w:pPr>
      <w:r w:rsidRPr="00D73912">
        <w:rPr>
          <w:rFonts w:ascii="Arial" w:hAnsi="Arial" w:cs="Arial"/>
          <w:color w:val="000000"/>
        </w:rPr>
        <w:t xml:space="preserve">The proportion of males and females in each pay quartile: </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16"/>
        <w:gridCol w:w="2386"/>
      </w:tblGrid>
      <w:tr w:rsidR="006B7F4D" w:rsidRPr="00D73912" w14:paraId="69AA885D" w14:textId="77777777" w:rsidTr="00786407">
        <w:tc>
          <w:tcPr>
            <w:tcW w:w="2380" w:type="dxa"/>
            <w:shd w:val="clear" w:color="auto" w:fill="auto"/>
          </w:tcPr>
          <w:p w14:paraId="2ADD9867" w14:textId="618E5BC0" w:rsidR="006B7F4D" w:rsidRPr="00D73912" w:rsidRDefault="006B7F4D" w:rsidP="00786407">
            <w:pPr>
              <w:autoSpaceDE w:val="0"/>
              <w:autoSpaceDN w:val="0"/>
              <w:adjustRightInd w:val="0"/>
              <w:spacing w:before="120"/>
              <w:jc w:val="both"/>
              <w:rPr>
                <w:rFonts w:ascii="Arial" w:hAnsi="Arial" w:cs="Arial"/>
              </w:rPr>
            </w:pPr>
            <w:r w:rsidRPr="00D73912">
              <w:rPr>
                <w:rFonts w:ascii="Arial" w:hAnsi="Arial" w:cs="Arial"/>
              </w:rPr>
              <w:t>April 20</w:t>
            </w:r>
            <w:r w:rsidR="009335AF" w:rsidRPr="00D73912">
              <w:rPr>
                <w:rFonts w:ascii="Arial" w:hAnsi="Arial" w:cs="Arial"/>
              </w:rPr>
              <w:t>2</w:t>
            </w:r>
            <w:r w:rsidR="00266F56">
              <w:rPr>
                <w:rFonts w:ascii="Arial" w:hAnsi="Arial" w:cs="Arial"/>
              </w:rPr>
              <w:t>3</w:t>
            </w:r>
          </w:p>
        </w:tc>
        <w:tc>
          <w:tcPr>
            <w:tcW w:w="2316" w:type="dxa"/>
            <w:shd w:val="clear" w:color="auto" w:fill="auto"/>
          </w:tcPr>
          <w:p w14:paraId="122C7CB1" w14:textId="77777777" w:rsidR="006B7F4D" w:rsidRPr="00D73912" w:rsidRDefault="006B7F4D" w:rsidP="00786407">
            <w:pPr>
              <w:autoSpaceDE w:val="0"/>
              <w:autoSpaceDN w:val="0"/>
              <w:adjustRightInd w:val="0"/>
              <w:spacing w:before="120"/>
              <w:jc w:val="center"/>
              <w:rPr>
                <w:rFonts w:ascii="Arial" w:hAnsi="Arial" w:cs="Arial"/>
              </w:rPr>
            </w:pPr>
            <w:r w:rsidRPr="00D73912">
              <w:rPr>
                <w:rFonts w:ascii="Arial" w:hAnsi="Arial" w:cs="Arial"/>
                <w:b/>
                <w:bCs/>
                <w:color w:val="000000"/>
              </w:rPr>
              <w:t>Males</w:t>
            </w:r>
          </w:p>
        </w:tc>
        <w:tc>
          <w:tcPr>
            <w:tcW w:w="2386" w:type="dxa"/>
            <w:shd w:val="clear" w:color="auto" w:fill="auto"/>
          </w:tcPr>
          <w:p w14:paraId="4FB83A89" w14:textId="77777777" w:rsidR="006B7F4D" w:rsidRPr="00D73912" w:rsidRDefault="006B7F4D" w:rsidP="00786407">
            <w:pPr>
              <w:autoSpaceDE w:val="0"/>
              <w:autoSpaceDN w:val="0"/>
              <w:adjustRightInd w:val="0"/>
              <w:spacing w:before="120"/>
              <w:jc w:val="center"/>
              <w:rPr>
                <w:rFonts w:ascii="Arial" w:hAnsi="Arial" w:cs="Arial"/>
              </w:rPr>
            </w:pPr>
            <w:r w:rsidRPr="00D73912">
              <w:rPr>
                <w:rFonts w:ascii="Arial" w:hAnsi="Arial" w:cs="Arial"/>
                <w:b/>
                <w:bCs/>
                <w:color w:val="000000"/>
              </w:rPr>
              <w:t>Females</w:t>
            </w:r>
          </w:p>
        </w:tc>
      </w:tr>
      <w:tr w:rsidR="006B7F4D" w:rsidRPr="00D73912" w14:paraId="06897E46" w14:textId="77777777" w:rsidTr="00786407">
        <w:tc>
          <w:tcPr>
            <w:tcW w:w="2380" w:type="dxa"/>
            <w:shd w:val="clear" w:color="auto" w:fill="auto"/>
          </w:tcPr>
          <w:p w14:paraId="4E3E3585" w14:textId="77777777" w:rsidR="006B7F4D" w:rsidRPr="00D73912" w:rsidRDefault="006B7F4D" w:rsidP="00786407">
            <w:pPr>
              <w:autoSpaceDE w:val="0"/>
              <w:autoSpaceDN w:val="0"/>
              <w:adjustRightInd w:val="0"/>
              <w:spacing w:before="120"/>
              <w:jc w:val="both"/>
              <w:rPr>
                <w:rFonts w:ascii="Arial" w:hAnsi="Arial" w:cs="Arial"/>
                <w:color w:val="000000"/>
              </w:rPr>
            </w:pPr>
            <w:r w:rsidRPr="00D73912">
              <w:rPr>
                <w:rFonts w:ascii="Arial" w:hAnsi="Arial" w:cs="Arial"/>
                <w:color w:val="000000"/>
              </w:rPr>
              <w:t xml:space="preserve">Lower (lowest)      </w:t>
            </w:r>
          </w:p>
        </w:tc>
        <w:tc>
          <w:tcPr>
            <w:tcW w:w="2316" w:type="dxa"/>
            <w:shd w:val="clear" w:color="auto" w:fill="auto"/>
          </w:tcPr>
          <w:p w14:paraId="43981212" w14:textId="1DAE4BC6" w:rsidR="006B7F4D" w:rsidRPr="00D73912" w:rsidRDefault="007C5760" w:rsidP="00837F02">
            <w:pPr>
              <w:autoSpaceDE w:val="0"/>
              <w:autoSpaceDN w:val="0"/>
              <w:adjustRightInd w:val="0"/>
              <w:spacing w:before="120"/>
              <w:jc w:val="center"/>
              <w:rPr>
                <w:rFonts w:ascii="Arial" w:hAnsi="Arial" w:cs="Arial"/>
                <w:color w:val="000000"/>
              </w:rPr>
            </w:pPr>
            <w:r w:rsidRPr="007C5760">
              <w:rPr>
                <w:rFonts w:ascii="Arial" w:hAnsi="Arial" w:cs="Arial"/>
                <w:color w:val="000000"/>
              </w:rPr>
              <w:t>5.13%</w:t>
            </w:r>
          </w:p>
        </w:tc>
        <w:tc>
          <w:tcPr>
            <w:tcW w:w="2386" w:type="dxa"/>
            <w:shd w:val="clear" w:color="auto" w:fill="auto"/>
          </w:tcPr>
          <w:p w14:paraId="3BFA25D0" w14:textId="02FFFA35" w:rsidR="006B7F4D" w:rsidRPr="00D73912" w:rsidRDefault="00A965CE" w:rsidP="00786407">
            <w:pPr>
              <w:autoSpaceDE w:val="0"/>
              <w:autoSpaceDN w:val="0"/>
              <w:adjustRightInd w:val="0"/>
              <w:spacing w:before="120"/>
              <w:jc w:val="center"/>
              <w:rPr>
                <w:rFonts w:ascii="Arial" w:hAnsi="Arial" w:cs="Arial"/>
                <w:color w:val="000000"/>
              </w:rPr>
            </w:pPr>
            <w:r w:rsidRPr="00A965CE">
              <w:rPr>
                <w:rFonts w:ascii="Arial" w:hAnsi="Arial" w:cs="Arial"/>
                <w:color w:val="000000"/>
              </w:rPr>
              <w:t>94.87%</w:t>
            </w:r>
          </w:p>
        </w:tc>
      </w:tr>
      <w:tr w:rsidR="006B7F4D" w:rsidRPr="00D73912" w14:paraId="2589BF89" w14:textId="77777777" w:rsidTr="00786407">
        <w:tc>
          <w:tcPr>
            <w:tcW w:w="2380" w:type="dxa"/>
            <w:shd w:val="clear" w:color="auto" w:fill="auto"/>
          </w:tcPr>
          <w:p w14:paraId="63BDF182" w14:textId="77777777" w:rsidR="006B7F4D" w:rsidRPr="00D73912" w:rsidRDefault="006B7F4D" w:rsidP="00786407">
            <w:pPr>
              <w:autoSpaceDE w:val="0"/>
              <w:autoSpaceDN w:val="0"/>
              <w:adjustRightInd w:val="0"/>
              <w:spacing w:before="120"/>
              <w:jc w:val="both"/>
              <w:rPr>
                <w:rFonts w:ascii="Arial" w:hAnsi="Arial" w:cs="Arial"/>
                <w:color w:val="000000"/>
              </w:rPr>
            </w:pPr>
            <w:r w:rsidRPr="00D73912">
              <w:rPr>
                <w:rFonts w:ascii="Arial" w:hAnsi="Arial" w:cs="Arial"/>
                <w:color w:val="000000"/>
              </w:rPr>
              <w:t xml:space="preserve">Lower middle       </w:t>
            </w:r>
          </w:p>
        </w:tc>
        <w:tc>
          <w:tcPr>
            <w:tcW w:w="2316" w:type="dxa"/>
            <w:shd w:val="clear" w:color="auto" w:fill="auto"/>
          </w:tcPr>
          <w:p w14:paraId="08E6FD45" w14:textId="4729AC90" w:rsidR="006B7F4D" w:rsidRPr="00D73912" w:rsidRDefault="00A965CE" w:rsidP="00786407">
            <w:pPr>
              <w:autoSpaceDE w:val="0"/>
              <w:autoSpaceDN w:val="0"/>
              <w:adjustRightInd w:val="0"/>
              <w:spacing w:before="120"/>
              <w:jc w:val="center"/>
              <w:rPr>
                <w:rFonts w:ascii="Arial" w:hAnsi="Arial" w:cs="Arial"/>
                <w:color w:val="000000"/>
              </w:rPr>
            </w:pPr>
            <w:r w:rsidRPr="00A965CE">
              <w:rPr>
                <w:rFonts w:ascii="Arial" w:hAnsi="Arial" w:cs="Arial"/>
                <w:color w:val="000000"/>
              </w:rPr>
              <w:t>1.28%</w:t>
            </w:r>
          </w:p>
        </w:tc>
        <w:tc>
          <w:tcPr>
            <w:tcW w:w="2386" w:type="dxa"/>
            <w:shd w:val="clear" w:color="auto" w:fill="auto"/>
          </w:tcPr>
          <w:p w14:paraId="208EE8E8" w14:textId="1D8DB48B" w:rsidR="006B7F4D" w:rsidRPr="00D73912" w:rsidRDefault="005E7F49" w:rsidP="00786407">
            <w:pPr>
              <w:autoSpaceDE w:val="0"/>
              <w:autoSpaceDN w:val="0"/>
              <w:adjustRightInd w:val="0"/>
              <w:spacing w:before="120"/>
              <w:jc w:val="center"/>
              <w:rPr>
                <w:rFonts w:ascii="Arial" w:hAnsi="Arial" w:cs="Arial"/>
              </w:rPr>
            </w:pPr>
            <w:r w:rsidRPr="005E7F49">
              <w:rPr>
                <w:rFonts w:ascii="Arial" w:hAnsi="Arial" w:cs="Arial"/>
              </w:rPr>
              <w:t>98.72%</w:t>
            </w:r>
          </w:p>
        </w:tc>
      </w:tr>
      <w:tr w:rsidR="00492CF5" w:rsidRPr="00D73912" w14:paraId="274E63FA" w14:textId="77777777" w:rsidTr="00786407">
        <w:tc>
          <w:tcPr>
            <w:tcW w:w="2380" w:type="dxa"/>
            <w:shd w:val="clear" w:color="auto" w:fill="auto"/>
          </w:tcPr>
          <w:p w14:paraId="3085A78A" w14:textId="77777777" w:rsidR="00492CF5" w:rsidRPr="00D73912" w:rsidRDefault="00492CF5" w:rsidP="00492CF5">
            <w:pPr>
              <w:autoSpaceDE w:val="0"/>
              <w:autoSpaceDN w:val="0"/>
              <w:adjustRightInd w:val="0"/>
              <w:spacing w:before="120"/>
              <w:jc w:val="both"/>
              <w:rPr>
                <w:rFonts w:ascii="Arial" w:hAnsi="Arial" w:cs="Arial"/>
                <w:color w:val="000000"/>
              </w:rPr>
            </w:pPr>
            <w:r w:rsidRPr="00D73912">
              <w:rPr>
                <w:rFonts w:ascii="Arial" w:hAnsi="Arial" w:cs="Arial"/>
                <w:color w:val="000000"/>
              </w:rPr>
              <w:t xml:space="preserve">Upper middle       </w:t>
            </w:r>
          </w:p>
        </w:tc>
        <w:tc>
          <w:tcPr>
            <w:tcW w:w="2316" w:type="dxa"/>
            <w:shd w:val="clear" w:color="auto" w:fill="auto"/>
          </w:tcPr>
          <w:p w14:paraId="12791886" w14:textId="6DA0E9EC" w:rsidR="00492CF5" w:rsidRPr="00D73912" w:rsidRDefault="00A965CE" w:rsidP="00492CF5">
            <w:pPr>
              <w:autoSpaceDE w:val="0"/>
              <w:autoSpaceDN w:val="0"/>
              <w:adjustRightInd w:val="0"/>
              <w:spacing w:before="120"/>
              <w:jc w:val="center"/>
              <w:rPr>
                <w:rFonts w:ascii="Arial" w:hAnsi="Arial" w:cs="Arial"/>
                <w:color w:val="000000"/>
              </w:rPr>
            </w:pPr>
            <w:r w:rsidRPr="00A965CE">
              <w:rPr>
                <w:rFonts w:ascii="Arial" w:hAnsi="Arial" w:cs="Arial"/>
                <w:color w:val="000000"/>
              </w:rPr>
              <w:t>8.97%</w:t>
            </w:r>
          </w:p>
        </w:tc>
        <w:tc>
          <w:tcPr>
            <w:tcW w:w="2386" w:type="dxa"/>
            <w:shd w:val="clear" w:color="auto" w:fill="auto"/>
          </w:tcPr>
          <w:p w14:paraId="4AAE99C8" w14:textId="0797DB9F" w:rsidR="00492CF5" w:rsidRPr="00D73912" w:rsidRDefault="005E7F49" w:rsidP="00492CF5">
            <w:pPr>
              <w:autoSpaceDE w:val="0"/>
              <w:autoSpaceDN w:val="0"/>
              <w:adjustRightInd w:val="0"/>
              <w:spacing w:before="120"/>
              <w:jc w:val="center"/>
              <w:rPr>
                <w:rFonts w:ascii="Arial" w:hAnsi="Arial" w:cs="Arial"/>
              </w:rPr>
            </w:pPr>
            <w:r w:rsidRPr="005E7F49">
              <w:rPr>
                <w:rFonts w:ascii="Arial" w:hAnsi="Arial" w:cs="Arial"/>
              </w:rPr>
              <w:t>91.03%</w:t>
            </w:r>
          </w:p>
        </w:tc>
      </w:tr>
      <w:tr w:rsidR="006B7F4D" w:rsidRPr="00D73912" w14:paraId="22D35C0A" w14:textId="77777777" w:rsidTr="00786407">
        <w:tc>
          <w:tcPr>
            <w:tcW w:w="2380" w:type="dxa"/>
            <w:shd w:val="clear" w:color="auto" w:fill="auto"/>
          </w:tcPr>
          <w:p w14:paraId="055E2AE4" w14:textId="7833C187" w:rsidR="006B7F4D" w:rsidRPr="00D73912" w:rsidRDefault="006B7F4D" w:rsidP="00786407">
            <w:pPr>
              <w:autoSpaceDE w:val="0"/>
              <w:autoSpaceDN w:val="0"/>
              <w:adjustRightInd w:val="0"/>
              <w:spacing w:before="120"/>
              <w:jc w:val="both"/>
              <w:rPr>
                <w:rFonts w:ascii="Arial" w:hAnsi="Arial" w:cs="Arial"/>
                <w:color w:val="000000"/>
              </w:rPr>
            </w:pPr>
            <w:r w:rsidRPr="00D73912">
              <w:rPr>
                <w:rFonts w:ascii="Arial" w:hAnsi="Arial" w:cs="Arial"/>
                <w:color w:val="000000"/>
              </w:rPr>
              <w:t>Upper (</w:t>
            </w:r>
            <w:r w:rsidR="00ED716E" w:rsidRPr="00D73912">
              <w:rPr>
                <w:rFonts w:ascii="Arial" w:hAnsi="Arial" w:cs="Arial"/>
                <w:color w:val="000000"/>
              </w:rPr>
              <w:t>highest)</w:t>
            </w:r>
            <w:r w:rsidRPr="00D73912">
              <w:rPr>
                <w:rFonts w:ascii="Arial" w:hAnsi="Arial" w:cs="Arial"/>
                <w:color w:val="000000"/>
              </w:rPr>
              <w:t xml:space="preserve">  </w:t>
            </w:r>
          </w:p>
        </w:tc>
        <w:tc>
          <w:tcPr>
            <w:tcW w:w="2316" w:type="dxa"/>
            <w:shd w:val="clear" w:color="auto" w:fill="auto"/>
          </w:tcPr>
          <w:p w14:paraId="08A021BB" w14:textId="4E5BC61F" w:rsidR="006B7F4D" w:rsidRPr="00D73912" w:rsidRDefault="00A965CE" w:rsidP="00786407">
            <w:pPr>
              <w:autoSpaceDE w:val="0"/>
              <w:autoSpaceDN w:val="0"/>
              <w:adjustRightInd w:val="0"/>
              <w:spacing w:before="120"/>
              <w:jc w:val="center"/>
              <w:rPr>
                <w:rFonts w:ascii="Arial" w:hAnsi="Arial" w:cs="Arial"/>
                <w:color w:val="000000"/>
              </w:rPr>
            </w:pPr>
            <w:r w:rsidRPr="00A965CE">
              <w:rPr>
                <w:rFonts w:ascii="Arial" w:hAnsi="Arial" w:cs="Arial"/>
                <w:color w:val="000000"/>
              </w:rPr>
              <w:t>15.38%</w:t>
            </w:r>
          </w:p>
        </w:tc>
        <w:tc>
          <w:tcPr>
            <w:tcW w:w="2386" w:type="dxa"/>
            <w:shd w:val="clear" w:color="auto" w:fill="auto"/>
          </w:tcPr>
          <w:p w14:paraId="023ABF8E" w14:textId="683D19C9" w:rsidR="006B7F4D" w:rsidRPr="00D73912" w:rsidRDefault="00DE348C" w:rsidP="00786407">
            <w:pPr>
              <w:autoSpaceDE w:val="0"/>
              <w:autoSpaceDN w:val="0"/>
              <w:adjustRightInd w:val="0"/>
              <w:spacing w:before="120"/>
              <w:jc w:val="center"/>
              <w:rPr>
                <w:rFonts w:ascii="Arial" w:hAnsi="Arial" w:cs="Arial"/>
              </w:rPr>
            </w:pPr>
            <w:r w:rsidRPr="00DE348C">
              <w:rPr>
                <w:rFonts w:ascii="Arial" w:hAnsi="Arial" w:cs="Arial"/>
              </w:rPr>
              <w:t>84.62%</w:t>
            </w:r>
          </w:p>
        </w:tc>
      </w:tr>
    </w:tbl>
    <w:p w14:paraId="217EC0FB" w14:textId="77777777" w:rsidR="006B7F4D" w:rsidRPr="00D73912" w:rsidRDefault="006B7F4D" w:rsidP="006B7F4D">
      <w:pPr>
        <w:autoSpaceDE w:val="0"/>
        <w:autoSpaceDN w:val="0"/>
        <w:adjustRightInd w:val="0"/>
        <w:spacing w:before="120"/>
        <w:jc w:val="both"/>
        <w:rPr>
          <w:rFonts w:ascii="Arial" w:hAnsi="Arial" w:cs="Arial"/>
          <w:bCs/>
          <w:sz w:val="12"/>
          <w:szCs w:val="12"/>
        </w:rPr>
      </w:pPr>
    </w:p>
    <w:p w14:paraId="16BE2365" w14:textId="74083536" w:rsidR="006B7F4D" w:rsidRPr="00D73912" w:rsidRDefault="006B7F4D" w:rsidP="006B7F4D">
      <w:pPr>
        <w:autoSpaceDE w:val="0"/>
        <w:autoSpaceDN w:val="0"/>
        <w:adjustRightInd w:val="0"/>
        <w:spacing w:before="120"/>
        <w:jc w:val="both"/>
        <w:rPr>
          <w:rFonts w:ascii="Arial" w:hAnsi="Arial" w:cs="Arial"/>
          <w:bCs/>
        </w:rPr>
      </w:pPr>
      <w:r w:rsidRPr="00D73912">
        <w:rPr>
          <w:rFonts w:ascii="Arial" w:hAnsi="Arial" w:cs="Arial"/>
          <w:bCs/>
        </w:rPr>
        <w:t>For comparison the previous data, calculated on the ‘snapshot date’ of 5</w:t>
      </w:r>
      <w:r w:rsidR="0005730F" w:rsidRPr="00D73912">
        <w:rPr>
          <w:rFonts w:ascii="Arial" w:hAnsi="Arial" w:cs="Arial"/>
          <w:bCs/>
          <w:vertAlign w:val="superscript"/>
        </w:rPr>
        <w:t>th</w:t>
      </w:r>
      <w:r w:rsidR="0005730F" w:rsidRPr="00D73912">
        <w:rPr>
          <w:rFonts w:ascii="Arial" w:hAnsi="Arial" w:cs="Arial"/>
          <w:bCs/>
        </w:rPr>
        <w:t xml:space="preserve"> </w:t>
      </w:r>
      <w:r w:rsidRPr="00D73912">
        <w:rPr>
          <w:rFonts w:ascii="Arial" w:hAnsi="Arial" w:cs="Arial"/>
          <w:bCs/>
        </w:rPr>
        <w:t>April 20</w:t>
      </w:r>
      <w:r w:rsidR="002E3F00" w:rsidRPr="00D73912">
        <w:rPr>
          <w:rFonts w:ascii="Arial" w:hAnsi="Arial" w:cs="Arial"/>
          <w:bCs/>
        </w:rPr>
        <w:t>2</w:t>
      </w:r>
      <w:r w:rsidR="00683279">
        <w:rPr>
          <w:rFonts w:ascii="Arial" w:hAnsi="Arial" w:cs="Arial"/>
          <w:bCs/>
        </w:rPr>
        <w:t>2</w:t>
      </w:r>
      <w:r w:rsidRPr="00D73912">
        <w:rPr>
          <w:rFonts w:ascii="Arial" w:hAnsi="Arial" w:cs="Arial"/>
          <w:bCs/>
        </w:rPr>
        <w:t xml:space="preserve"> is shown below:</w:t>
      </w:r>
    </w:p>
    <w:p w14:paraId="176094BD" w14:textId="4527985C" w:rsidR="006B7F4D" w:rsidRPr="00D73912" w:rsidRDefault="006B7F4D" w:rsidP="006B7F4D">
      <w:pPr>
        <w:numPr>
          <w:ilvl w:val="0"/>
          <w:numId w:val="12"/>
        </w:numPr>
        <w:autoSpaceDE w:val="0"/>
        <w:autoSpaceDN w:val="0"/>
        <w:adjustRightInd w:val="0"/>
        <w:spacing w:before="120"/>
        <w:jc w:val="both"/>
        <w:rPr>
          <w:rFonts w:ascii="Arial" w:hAnsi="Arial" w:cs="Arial"/>
          <w:b/>
        </w:rPr>
      </w:pPr>
      <w:r w:rsidRPr="00D73912">
        <w:rPr>
          <w:rFonts w:ascii="Arial" w:hAnsi="Arial" w:cs="Arial"/>
          <w:color w:val="000000"/>
        </w:rPr>
        <w:t xml:space="preserve">The </w:t>
      </w:r>
      <w:r w:rsidRPr="00D73912">
        <w:rPr>
          <w:rFonts w:ascii="Arial" w:hAnsi="Arial" w:cs="Arial"/>
          <w:b/>
          <w:bCs/>
          <w:color w:val="000000"/>
        </w:rPr>
        <w:t>mean</w:t>
      </w:r>
      <w:r w:rsidRPr="00D73912">
        <w:rPr>
          <w:rFonts w:ascii="Arial" w:hAnsi="Arial" w:cs="Arial"/>
          <w:color w:val="000000"/>
        </w:rPr>
        <w:t xml:space="preserve"> gender pay gap for Age UK Hertfordshire is </w:t>
      </w:r>
      <w:r w:rsidR="00B854D4" w:rsidRPr="00D73912">
        <w:rPr>
          <w:rFonts w:ascii="Arial" w:hAnsi="Arial" w:cs="Arial"/>
          <w:b/>
          <w:color w:val="000000"/>
        </w:rPr>
        <w:t>22.32</w:t>
      </w:r>
      <w:r w:rsidR="00B854D4" w:rsidRPr="00D73912">
        <w:rPr>
          <w:rFonts w:ascii="Arial" w:hAnsi="Arial" w:cs="Arial"/>
          <w:b/>
          <w:bCs/>
          <w:color w:val="000000"/>
        </w:rPr>
        <w:t>%</w:t>
      </w:r>
    </w:p>
    <w:p w14:paraId="6F36CF3A" w14:textId="5B224545" w:rsidR="006B7F4D" w:rsidRPr="00D73912" w:rsidRDefault="006B7F4D" w:rsidP="006B7F4D">
      <w:pPr>
        <w:numPr>
          <w:ilvl w:val="0"/>
          <w:numId w:val="12"/>
        </w:numPr>
        <w:autoSpaceDE w:val="0"/>
        <w:autoSpaceDN w:val="0"/>
        <w:adjustRightInd w:val="0"/>
        <w:spacing w:before="120"/>
        <w:jc w:val="both"/>
        <w:rPr>
          <w:rFonts w:ascii="Arial" w:hAnsi="Arial" w:cs="Arial"/>
        </w:rPr>
      </w:pPr>
      <w:r w:rsidRPr="00D73912">
        <w:rPr>
          <w:rFonts w:ascii="Arial" w:hAnsi="Arial" w:cs="Arial"/>
          <w:color w:val="000000"/>
        </w:rPr>
        <w:t xml:space="preserve">The </w:t>
      </w:r>
      <w:r w:rsidRPr="00D73912">
        <w:rPr>
          <w:rFonts w:ascii="Arial" w:hAnsi="Arial" w:cs="Arial"/>
          <w:b/>
          <w:bCs/>
          <w:color w:val="000000"/>
        </w:rPr>
        <w:t xml:space="preserve">median </w:t>
      </w:r>
      <w:r w:rsidRPr="00D73912">
        <w:rPr>
          <w:rFonts w:ascii="Arial" w:hAnsi="Arial" w:cs="Arial"/>
          <w:color w:val="000000"/>
        </w:rPr>
        <w:t xml:space="preserve">gender pay gap for Age UK Hertfordshire is </w:t>
      </w:r>
      <w:r w:rsidR="00683279" w:rsidRPr="00AE42C6">
        <w:rPr>
          <w:rFonts w:ascii="Arial" w:hAnsi="Arial" w:cs="Arial"/>
          <w:b/>
          <w:color w:val="000000"/>
        </w:rPr>
        <w:t>3.60</w:t>
      </w:r>
      <w:r w:rsidR="00683279" w:rsidRPr="00AE42C6">
        <w:rPr>
          <w:rFonts w:ascii="Arial" w:hAnsi="Arial" w:cs="Arial"/>
          <w:b/>
          <w:bCs/>
          <w:color w:val="000000"/>
        </w:rPr>
        <w:t>%</w:t>
      </w:r>
    </w:p>
    <w:p w14:paraId="63348959" w14:textId="098D7E93" w:rsidR="006666F2" w:rsidRPr="00AE42C6" w:rsidRDefault="006B7F4D" w:rsidP="00AE42C6">
      <w:pPr>
        <w:numPr>
          <w:ilvl w:val="0"/>
          <w:numId w:val="12"/>
        </w:numPr>
        <w:autoSpaceDE w:val="0"/>
        <w:autoSpaceDN w:val="0"/>
        <w:adjustRightInd w:val="0"/>
        <w:spacing w:before="120" w:after="240"/>
        <w:jc w:val="both"/>
        <w:rPr>
          <w:rFonts w:ascii="Arial" w:hAnsi="Arial" w:cs="Arial"/>
        </w:rPr>
      </w:pPr>
      <w:r w:rsidRPr="00FA5A13">
        <w:rPr>
          <w:rFonts w:ascii="Arial" w:hAnsi="Arial" w:cs="Arial"/>
          <w:color w:val="000000"/>
        </w:rPr>
        <w:t xml:space="preserve">The proportion of males and females in each pay quartile: </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16"/>
        <w:gridCol w:w="2386"/>
      </w:tblGrid>
      <w:tr w:rsidR="006B7F4D" w:rsidRPr="00FA5A13" w14:paraId="18133187" w14:textId="77777777" w:rsidTr="00786407">
        <w:tc>
          <w:tcPr>
            <w:tcW w:w="2380" w:type="dxa"/>
            <w:shd w:val="clear" w:color="auto" w:fill="auto"/>
          </w:tcPr>
          <w:p w14:paraId="64E63A11" w14:textId="5DD3ADAA" w:rsidR="006B7F4D" w:rsidRPr="00FA5A13" w:rsidRDefault="006B7F4D" w:rsidP="00786407">
            <w:pPr>
              <w:autoSpaceDE w:val="0"/>
              <w:autoSpaceDN w:val="0"/>
              <w:adjustRightInd w:val="0"/>
              <w:spacing w:before="120"/>
              <w:jc w:val="both"/>
              <w:rPr>
                <w:rFonts w:ascii="Arial" w:hAnsi="Arial" w:cs="Arial"/>
              </w:rPr>
            </w:pPr>
            <w:r w:rsidRPr="00FA5A13">
              <w:rPr>
                <w:rFonts w:ascii="Arial" w:hAnsi="Arial" w:cs="Arial"/>
              </w:rPr>
              <w:t>April 20</w:t>
            </w:r>
            <w:r w:rsidR="002E3F00">
              <w:rPr>
                <w:rFonts w:ascii="Arial" w:hAnsi="Arial" w:cs="Arial"/>
              </w:rPr>
              <w:t>2</w:t>
            </w:r>
            <w:r w:rsidR="000771CB">
              <w:rPr>
                <w:rFonts w:ascii="Arial" w:hAnsi="Arial" w:cs="Arial"/>
              </w:rPr>
              <w:t>2</w:t>
            </w:r>
          </w:p>
        </w:tc>
        <w:tc>
          <w:tcPr>
            <w:tcW w:w="2316" w:type="dxa"/>
            <w:shd w:val="clear" w:color="auto" w:fill="auto"/>
          </w:tcPr>
          <w:p w14:paraId="6F4E93D0" w14:textId="77A88CED" w:rsidR="006B7F4D" w:rsidRPr="00FA5A13" w:rsidRDefault="006B7F4D" w:rsidP="00B53B33">
            <w:pPr>
              <w:autoSpaceDE w:val="0"/>
              <w:autoSpaceDN w:val="0"/>
              <w:adjustRightInd w:val="0"/>
              <w:spacing w:before="120"/>
              <w:jc w:val="center"/>
              <w:rPr>
                <w:rFonts w:ascii="Arial" w:hAnsi="Arial" w:cs="Arial"/>
              </w:rPr>
            </w:pPr>
            <w:r w:rsidRPr="00FA5A13">
              <w:rPr>
                <w:rFonts w:ascii="Arial" w:hAnsi="Arial" w:cs="Arial"/>
                <w:b/>
                <w:bCs/>
                <w:color w:val="000000"/>
              </w:rPr>
              <w:t>Males</w:t>
            </w:r>
          </w:p>
        </w:tc>
        <w:tc>
          <w:tcPr>
            <w:tcW w:w="2386" w:type="dxa"/>
            <w:shd w:val="clear" w:color="auto" w:fill="auto"/>
          </w:tcPr>
          <w:p w14:paraId="34897325" w14:textId="77777777" w:rsidR="006B7F4D" w:rsidRPr="00FA5A13" w:rsidRDefault="006B7F4D" w:rsidP="00B53B33">
            <w:pPr>
              <w:autoSpaceDE w:val="0"/>
              <w:autoSpaceDN w:val="0"/>
              <w:adjustRightInd w:val="0"/>
              <w:spacing w:before="120"/>
              <w:jc w:val="center"/>
              <w:rPr>
                <w:rFonts w:ascii="Arial" w:hAnsi="Arial" w:cs="Arial"/>
              </w:rPr>
            </w:pPr>
            <w:r w:rsidRPr="00FA5A13">
              <w:rPr>
                <w:rFonts w:ascii="Arial" w:hAnsi="Arial" w:cs="Arial"/>
                <w:b/>
                <w:bCs/>
                <w:color w:val="000000"/>
              </w:rPr>
              <w:t>Females</w:t>
            </w:r>
          </w:p>
        </w:tc>
      </w:tr>
      <w:tr w:rsidR="000771CB" w:rsidRPr="00FA5A13" w14:paraId="3BC75176" w14:textId="77777777" w:rsidTr="00786407">
        <w:tc>
          <w:tcPr>
            <w:tcW w:w="2380" w:type="dxa"/>
            <w:shd w:val="clear" w:color="auto" w:fill="auto"/>
          </w:tcPr>
          <w:p w14:paraId="335FCEC7" w14:textId="6FBEF064" w:rsidR="000771CB" w:rsidRPr="00FA5A13" w:rsidRDefault="000771CB" w:rsidP="000771CB">
            <w:pPr>
              <w:autoSpaceDE w:val="0"/>
              <w:autoSpaceDN w:val="0"/>
              <w:adjustRightInd w:val="0"/>
              <w:spacing w:before="120"/>
              <w:jc w:val="both"/>
              <w:rPr>
                <w:rFonts w:ascii="Arial" w:hAnsi="Arial" w:cs="Arial"/>
                <w:color w:val="000000"/>
              </w:rPr>
            </w:pPr>
            <w:r w:rsidRPr="00FA5A13">
              <w:rPr>
                <w:rFonts w:ascii="Arial" w:hAnsi="Arial" w:cs="Arial"/>
                <w:color w:val="000000"/>
              </w:rPr>
              <w:t xml:space="preserve">Lower (lowest)  </w:t>
            </w:r>
          </w:p>
        </w:tc>
        <w:tc>
          <w:tcPr>
            <w:tcW w:w="2316" w:type="dxa"/>
            <w:shd w:val="clear" w:color="auto" w:fill="auto"/>
          </w:tcPr>
          <w:p w14:paraId="7D8C6DC0" w14:textId="00931E2D" w:rsidR="000771CB" w:rsidRPr="007143AB" w:rsidRDefault="000771CB" w:rsidP="000771CB">
            <w:pPr>
              <w:autoSpaceDE w:val="0"/>
              <w:autoSpaceDN w:val="0"/>
              <w:adjustRightInd w:val="0"/>
              <w:spacing w:before="120"/>
              <w:jc w:val="center"/>
              <w:rPr>
                <w:rFonts w:ascii="Arial" w:hAnsi="Arial" w:cs="Arial"/>
                <w:color w:val="000000"/>
              </w:rPr>
            </w:pPr>
            <w:r w:rsidRPr="00D73912">
              <w:rPr>
                <w:rFonts w:ascii="Arial" w:hAnsi="Arial" w:cs="Arial"/>
                <w:color w:val="000000"/>
              </w:rPr>
              <w:t>5.33%</w:t>
            </w:r>
          </w:p>
        </w:tc>
        <w:tc>
          <w:tcPr>
            <w:tcW w:w="2386" w:type="dxa"/>
            <w:shd w:val="clear" w:color="auto" w:fill="auto"/>
          </w:tcPr>
          <w:p w14:paraId="0F5B4734" w14:textId="47E17D5C" w:rsidR="000771CB" w:rsidRPr="007143AB" w:rsidRDefault="000771CB" w:rsidP="000771CB">
            <w:pPr>
              <w:autoSpaceDE w:val="0"/>
              <w:autoSpaceDN w:val="0"/>
              <w:adjustRightInd w:val="0"/>
              <w:spacing w:before="120"/>
              <w:jc w:val="center"/>
              <w:rPr>
                <w:rFonts w:ascii="Arial" w:hAnsi="Arial" w:cs="Arial"/>
                <w:color w:val="000000"/>
              </w:rPr>
            </w:pPr>
            <w:r w:rsidRPr="00D73912">
              <w:rPr>
                <w:rFonts w:ascii="Arial" w:hAnsi="Arial" w:cs="Arial"/>
                <w:color w:val="000000"/>
              </w:rPr>
              <w:t>94.67%</w:t>
            </w:r>
          </w:p>
        </w:tc>
      </w:tr>
      <w:tr w:rsidR="000771CB" w:rsidRPr="00FA5A13" w14:paraId="1326E24B" w14:textId="77777777" w:rsidTr="00786407">
        <w:tc>
          <w:tcPr>
            <w:tcW w:w="2380" w:type="dxa"/>
            <w:shd w:val="clear" w:color="auto" w:fill="auto"/>
          </w:tcPr>
          <w:p w14:paraId="688CDEDA" w14:textId="77777777" w:rsidR="000771CB" w:rsidRPr="00FA5A13" w:rsidRDefault="000771CB" w:rsidP="000771CB">
            <w:pPr>
              <w:autoSpaceDE w:val="0"/>
              <w:autoSpaceDN w:val="0"/>
              <w:adjustRightInd w:val="0"/>
              <w:spacing w:before="120"/>
              <w:jc w:val="both"/>
              <w:rPr>
                <w:rFonts w:ascii="Arial" w:hAnsi="Arial" w:cs="Arial"/>
                <w:color w:val="000000"/>
              </w:rPr>
            </w:pPr>
            <w:r w:rsidRPr="00FA5A13">
              <w:rPr>
                <w:rFonts w:ascii="Arial" w:hAnsi="Arial" w:cs="Arial"/>
                <w:color w:val="000000"/>
              </w:rPr>
              <w:t xml:space="preserve">Lower middle       </w:t>
            </w:r>
          </w:p>
        </w:tc>
        <w:tc>
          <w:tcPr>
            <w:tcW w:w="2316" w:type="dxa"/>
            <w:shd w:val="clear" w:color="auto" w:fill="auto"/>
          </w:tcPr>
          <w:p w14:paraId="7F4E39DE" w14:textId="127CDCCF" w:rsidR="000771CB" w:rsidRPr="007143AB" w:rsidRDefault="000771CB" w:rsidP="000771CB">
            <w:pPr>
              <w:autoSpaceDE w:val="0"/>
              <w:autoSpaceDN w:val="0"/>
              <w:adjustRightInd w:val="0"/>
              <w:spacing w:before="120"/>
              <w:jc w:val="center"/>
              <w:rPr>
                <w:rFonts w:ascii="Arial" w:hAnsi="Arial" w:cs="Arial"/>
                <w:color w:val="000000"/>
              </w:rPr>
            </w:pPr>
            <w:r w:rsidRPr="00D73912">
              <w:rPr>
                <w:rFonts w:ascii="Arial" w:hAnsi="Arial" w:cs="Arial"/>
                <w:color w:val="000000"/>
              </w:rPr>
              <w:t>1.33%</w:t>
            </w:r>
          </w:p>
        </w:tc>
        <w:tc>
          <w:tcPr>
            <w:tcW w:w="2386" w:type="dxa"/>
            <w:shd w:val="clear" w:color="auto" w:fill="auto"/>
          </w:tcPr>
          <w:p w14:paraId="770EF055" w14:textId="4FA4BD4F" w:rsidR="000771CB" w:rsidRPr="007143AB" w:rsidRDefault="000771CB" w:rsidP="000771CB">
            <w:pPr>
              <w:autoSpaceDE w:val="0"/>
              <w:autoSpaceDN w:val="0"/>
              <w:adjustRightInd w:val="0"/>
              <w:spacing w:before="120"/>
              <w:jc w:val="center"/>
              <w:rPr>
                <w:rFonts w:ascii="Arial" w:hAnsi="Arial" w:cs="Arial"/>
              </w:rPr>
            </w:pPr>
            <w:r w:rsidRPr="00D73912">
              <w:rPr>
                <w:rFonts w:ascii="Arial" w:hAnsi="Arial" w:cs="Arial"/>
              </w:rPr>
              <w:t>98.67%</w:t>
            </w:r>
          </w:p>
        </w:tc>
      </w:tr>
      <w:tr w:rsidR="000771CB" w:rsidRPr="00FA5A13" w14:paraId="5A727AE9" w14:textId="77777777" w:rsidTr="00786407">
        <w:tc>
          <w:tcPr>
            <w:tcW w:w="2380" w:type="dxa"/>
            <w:shd w:val="clear" w:color="auto" w:fill="auto"/>
          </w:tcPr>
          <w:p w14:paraId="55C422FF" w14:textId="77777777" w:rsidR="000771CB" w:rsidRPr="00FA5A13" w:rsidRDefault="000771CB" w:rsidP="000771CB">
            <w:pPr>
              <w:autoSpaceDE w:val="0"/>
              <w:autoSpaceDN w:val="0"/>
              <w:adjustRightInd w:val="0"/>
              <w:spacing w:before="120"/>
              <w:jc w:val="both"/>
              <w:rPr>
                <w:rFonts w:ascii="Arial" w:hAnsi="Arial" w:cs="Arial"/>
                <w:color w:val="000000"/>
              </w:rPr>
            </w:pPr>
            <w:r w:rsidRPr="00FA5A13">
              <w:rPr>
                <w:rFonts w:ascii="Arial" w:hAnsi="Arial" w:cs="Arial"/>
                <w:color w:val="000000"/>
              </w:rPr>
              <w:t xml:space="preserve">Upper middle       </w:t>
            </w:r>
          </w:p>
        </w:tc>
        <w:tc>
          <w:tcPr>
            <w:tcW w:w="2316" w:type="dxa"/>
            <w:shd w:val="clear" w:color="auto" w:fill="auto"/>
          </w:tcPr>
          <w:p w14:paraId="607F82FA" w14:textId="4A3CFC3C" w:rsidR="000771CB" w:rsidRPr="007143AB" w:rsidRDefault="000771CB" w:rsidP="000771CB">
            <w:pPr>
              <w:autoSpaceDE w:val="0"/>
              <w:autoSpaceDN w:val="0"/>
              <w:adjustRightInd w:val="0"/>
              <w:spacing w:before="120"/>
              <w:jc w:val="center"/>
              <w:rPr>
                <w:rFonts w:ascii="Arial" w:hAnsi="Arial" w:cs="Arial"/>
                <w:color w:val="000000"/>
              </w:rPr>
            </w:pPr>
            <w:r w:rsidRPr="00D73912">
              <w:rPr>
                <w:rFonts w:ascii="Arial" w:hAnsi="Arial" w:cs="Arial"/>
                <w:color w:val="000000"/>
              </w:rPr>
              <w:t>1.33%</w:t>
            </w:r>
          </w:p>
        </w:tc>
        <w:tc>
          <w:tcPr>
            <w:tcW w:w="2386" w:type="dxa"/>
            <w:shd w:val="clear" w:color="auto" w:fill="auto"/>
          </w:tcPr>
          <w:p w14:paraId="16D091B5" w14:textId="017F51D3" w:rsidR="000771CB" w:rsidRPr="007143AB" w:rsidRDefault="000771CB" w:rsidP="000771CB">
            <w:pPr>
              <w:autoSpaceDE w:val="0"/>
              <w:autoSpaceDN w:val="0"/>
              <w:adjustRightInd w:val="0"/>
              <w:spacing w:before="120"/>
              <w:jc w:val="center"/>
              <w:rPr>
                <w:rFonts w:ascii="Arial" w:hAnsi="Arial" w:cs="Arial"/>
              </w:rPr>
            </w:pPr>
            <w:r w:rsidRPr="00D73912">
              <w:rPr>
                <w:rFonts w:ascii="Arial" w:hAnsi="Arial" w:cs="Arial"/>
              </w:rPr>
              <w:t>98.67%</w:t>
            </w:r>
          </w:p>
        </w:tc>
      </w:tr>
      <w:tr w:rsidR="000771CB" w:rsidRPr="00FA5A13" w14:paraId="5FB0C068" w14:textId="77777777" w:rsidTr="00786407">
        <w:tc>
          <w:tcPr>
            <w:tcW w:w="2380" w:type="dxa"/>
            <w:shd w:val="clear" w:color="auto" w:fill="auto"/>
          </w:tcPr>
          <w:p w14:paraId="74E21249" w14:textId="77777777" w:rsidR="000771CB" w:rsidRPr="00FA5A13" w:rsidRDefault="000771CB" w:rsidP="000771CB">
            <w:pPr>
              <w:autoSpaceDE w:val="0"/>
              <w:autoSpaceDN w:val="0"/>
              <w:adjustRightInd w:val="0"/>
              <w:spacing w:before="120"/>
              <w:jc w:val="both"/>
              <w:rPr>
                <w:rFonts w:ascii="Arial" w:hAnsi="Arial" w:cs="Arial"/>
                <w:color w:val="000000"/>
              </w:rPr>
            </w:pPr>
            <w:r w:rsidRPr="00FA5A13">
              <w:rPr>
                <w:rFonts w:ascii="Arial" w:hAnsi="Arial" w:cs="Arial"/>
                <w:color w:val="000000"/>
              </w:rPr>
              <w:t xml:space="preserve">Upper (highest)      </w:t>
            </w:r>
          </w:p>
        </w:tc>
        <w:tc>
          <w:tcPr>
            <w:tcW w:w="2316" w:type="dxa"/>
            <w:shd w:val="clear" w:color="auto" w:fill="auto"/>
          </w:tcPr>
          <w:p w14:paraId="1FE46BF7" w14:textId="2A34D9FD" w:rsidR="000771CB" w:rsidRPr="007143AB" w:rsidRDefault="000771CB" w:rsidP="000771CB">
            <w:pPr>
              <w:autoSpaceDE w:val="0"/>
              <w:autoSpaceDN w:val="0"/>
              <w:adjustRightInd w:val="0"/>
              <w:spacing w:before="120"/>
              <w:jc w:val="center"/>
              <w:rPr>
                <w:rFonts w:ascii="Arial" w:hAnsi="Arial" w:cs="Arial"/>
                <w:color w:val="000000"/>
              </w:rPr>
            </w:pPr>
            <w:r w:rsidRPr="00D73912">
              <w:rPr>
                <w:rFonts w:ascii="Arial" w:hAnsi="Arial" w:cs="Arial"/>
                <w:color w:val="000000"/>
              </w:rPr>
              <w:t>8.11%</w:t>
            </w:r>
          </w:p>
        </w:tc>
        <w:tc>
          <w:tcPr>
            <w:tcW w:w="2386" w:type="dxa"/>
            <w:shd w:val="clear" w:color="auto" w:fill="auto"/>
          </w:tcPr>
          <w:p w14:paraId="190E9682" w14:textId="12DFAF44" w:rsidR="000771CB" w:rsidRPr="007143AB" w:rsidRDefault="000771CB" w:rsidP="000771CB">
            <w:pPr>
              <w:autoSpaceDE w:val="0"/>
              <w:autoSpaceDN w:val="0"/>
              <w:adjustRightInd w:val="0"/>
              <w:spacing w:before="120"/>
              <w:jc w:val="center"/>
              <w:rPr>
                <w:rFonts w:ascii="Arial" w:hAnsi="Arial" w:cs="Arial"/>
              </w:rPr>
            </w:pPr>
            <w:r w:rsidRPr="00D73912">
              <w:rPr>
                <w:rFonts w:ascii="Arial" w:hAnsi="Arial" w:cs="Arial"/>
              </w:rPr>
              <w:t>91.89%</w:t>
            </w:r>
          </w:p>
        </w:tc>
      </w:tr>
    </w:tbl>
    <w:p w14:paraId="76C58B44" w14:textId="77777777" w:rsidR="00567EFD" w:rsidRDefault="00567EFD" w:rsidP="006B7F4D">
      <w:pPr>
        <w:autoSpaceDE w:val="0"/>
        <w:autoSpaceDN w:val="0"/>
        <w:adjustRightInd w:val="0"/>
        <w:spacing w:before="120"/>
        <w:jc w:val="both"/>
        <w:rPr>
          <w:rFonts w:ascii="Arial" w:hAnsi="Arial" w:cs="Arial"/>
          <w:color w:val="000000"/>
        </w:rPr>
      </w:pPr>
    </w:p>
    <w:p w14:paraId="4461CFA9" w14:textId="33A10E0D" w:rsidR="0089680C" w:rsidRPr="00C0075B" w:rsidRDefault="006B7F4D" w:rsidP="006B7F4D">
      <w:pPr>
        <w:autoSpaceDE w:val="0"/>
        <w:autoSpaceDN w:val="0"/>
        <w:adjustRightInd w:val="0"/>
        <w:spacing w:before="120"/>
        <w:jc w:val="both"/>
        <w:rPr>
          <w:rFonts w:ascii="Arial" w:hAnsi="Arial" w:cs="Arial"/>
          <w:color w:val="000000"/>
        </w:rPr>
      </w:pPr>
      <w:r w:rsidRPr="00FA5A13">
        <w:rPr>
          <w:rFonts w:ascii="Arial" w:hAnsi="Arial" w:cs="Arial"/>
          <w:color w:val="000000"/>
        </w:rPr>
        <w:t>Age UK Hertfordshire is</w:t>
      </w:r>
      <w:r w:rsidR="009E264A">
        <w:rPr>
          <w:rFonts w:ascii="Arial" w:hAnsi="Arial" w:cs="Arial"/>
          <w:color w:val="000000"/>
        </w:rPr>
        <w:t xml:space="preserve"> </w:t>
      </w:r>
      <w:r w:rsidRPr="00FA5A13">
        <w:rPr>
          <w:rFonts w:ascii="Arial" w:hAnsi="Arial" w:cs="Arial"/>
          <w:color w:val="000000"/>
        </w:rPr>
        <w:t xml:space="preserve">reporting </w:t>
      </w:r>
      <w:r w:rsidR="002A540D">
        <w:rPr>
          <w:rFonts w:ascii="Arial" w:hAnsi="Arial" w:cs="Arial"/>
          <w:color w:val="000000"/>
        </w:rPr>
        <w:t>both a mean and median</w:t>
      </w:r>
      <w:r w:rsidR="00915054">
        <w:rPr>
          <w:rFonts w:ascii="Arial" w:hAnsi="Arial" w:cs="Arial"/>
          <w:color w:val="000000"/>
        </w:rPr>
        <w:t xml:space="preserve"> gender</w:t>
      </w:r>
      <w:r w:rsidRPr="00FA5A13">
        <w:rPr>
          <w:rFonts w:ascii="Arial" w:hAnsi="Arial" w:cs="Arial"/>
          <w:color w:val="000000"/>
        </w:rPr>
        <w:t xml:space="preserve"> pay gap</w:t>
      </w:r>
      <w:r w:rsidR="00D10E98">
        <w:rPr>
          <w:rFonts w:ascii="Arial" w:hAnsi="Arial" w:cs="Arial"/>
          <w:color w:val="000000"/>
        </w:rPr>
        <w:t xml:space="preserve">. </w:t>
      </w:r>
      <w:r w:rsidRPr="00FA5A13">
        <w:rPr>
          <w:rFonts w:ascii="Arial" w:hAnsi="Arial" w:cs="Arial"/>
          <w:color w:val="000000"/>
        </w:rPr>
        <w:t>The main reason for this is the fact that we have a predominantly female workforce and a very small total number of male staff. In addition</w:t>
      </w:r>
      <w:r w:rsidR="002E5FDF">
        <w:rPr>
          <w:rFonts w:ascii="Arial" w:hAnsi="Arial" w:cs="Arial"/>
          <w:color w:val="000000"/>
        </w:rPr>
        <w:t>,</w:t>
      </w:r>
      <w:r w:rsidRPr="00FA5A13">
        <w:rPr>
          <w:rFonts w:ascii="Arial" w:hAnsi="Arial" w:cs="Arial"/>
          <w:color w:val="000000"/>
        </w:rPr>
        <w:t xml:space="preserve"> the largest part of our workforce is made up of casual workers in Home Helper roles, which tend to attract more female staff. Therefore, even small fluctuations in the female workforce</w:t>
      </w:r>
      <w:r>
        <w:rPr>
          <w:rFonts w:ascii="Arial" w:hAnsi="Arial" w:cs="Arial"/>
          <w:color w:val="000000"/>
        </w:rPr>
        <w:t xml:space="preserve"> or roles undertaken by male staff</w:t>
      </w:r>
      <w:r w:rsidRPr="00FA5A13">
        <w:rPr>
          <w:rFonts w:ascii="Arial" w:hAnsi="Arial" w:cs="Arial"/>
          <w:color w:val="000000"/>
        </w:rPr>
        <w:t xml:space="preserve"> can have a significant impact on our gender pay gap.</w:t>
      </w:r>
    </w:p>
    <w:p w14:paraId="03D76AD3" w14:textId="77777777" w:rsidR="006B7F4D" w:rsidRPr="00FA5A13" w:rsidRDefault="006B7F4D" w:rsidP="006B7F4D">
      <w:pPr>
        <w:autoSpaceDE w:val="0"/>
        <w:autoSpaceDN w:val="0"/>
        <w:adjustRightInd w:val="0"/>
        <w:spacing w:before="120"/>
        <w:jc w:val="both"/>
        <w:rPr>
          <w:rFonts w:ascii="Arial" w:hAnsi="Arial" w:cs="Arial"/>
          <w:b/>
          <w:bCs/>
        </w:rPr>
      </w:pPr>
      <w:r w:rsidRPr="00FA5A13">
        <w:rPr>
          <w:rFonts w:ascii="Arial" w:hAnsi="Arial" w:cs="Arial"/>
          <w:b/>
          <w:bCs/>
        </w:rPr>
        <w:lastRenderedPageBreak/>
        <w:t>What is causing our Gender Pay Gap?</w:t>
      </w:r>
    </w:p>
    <w:p w14:paraId="7A29C058" w14:textId="1480BCFA" w:rsidR="006B7F4D" w:rsidRPr="00FA5A13" w:rsidRDefault="006B7F4D" w:rsidP="006B7F4D">
      <w:pPr>
        <w:autoSpaceDE w:val="0"/>
        <w:autoSpaceDN w:val="0"/>
        <w:adjustRightInd w:val="0"/>
        <w:spacing w:before="120"/>
        <w:jc w:val="both"/>
        <w:rPr>
          <w:rFonts w:ascii="Arial" w:hAnsi="Arial" w:cs="Arial"/>
          <w:color w:val="000000"/>
        </w:rPr>
      </w:pPr>
      <w:r w:rsidRPr="00C0075B">
        <w:rPr>
          <w:rFonts w:ascii="Arial" w:hAnsi="Arial" w:cs="Arial"/>
          <w:color w:val="000000"/>
        </w:rPr>
        <w:t xml:space="preserve">The </w:t>
      </w:r>
      <w:r w:rsidR="002C3EA5">
        <w:rPr>
          <w:rFonts w:ascii="Arial" w:hAnsi="Arial" w:cs="Arial"/>
        </w:rPr>
        <w:t>15.48</w:t>
      </w:r>
      <w:r w:rsidRPr="00C0075B">
        <w:rPr>
          <w:rFonts w:ascii="Arial" w:hAnsi="Arial" w:cs="Arial"/>
        </w:rPr>
        <w:t>%</w:t>
      </w:r>
      <w:r w:rsidRPr="00CF474F">
        <w:rPr>
          <w:rFonts w:ascii="Arial" w:hAnsi="Arial" w:cs="Arial"/>
        </w:rPr>
        <w:t xml:space="preserve"> mean </w:t>
      </w:r>
      <w:r w:rsidRPr="00FA5A13">
        <w:rPr>
          <w:rFonts w:ascii="Arial" w:hAnsi="Arial" w:cs="Arial"/>
          <w:color w:val="000000"/>
        </w:rPr>
        <w:t xml:space="preserve">gender pay gap shows that the average male hourly pay in the organisation is higher than the </w:t>
      </w:r>
      <w:r w:rsidR="002C089D">
        <w:rPr>
          <w:rFonts w:ascii="Arial" w:hAnsi="Arial" w:cs="Arial"/>
          <w:color w:val="000000"/>
        </w:rPr>
        <w:t xml:space="preserve">average </w:t>
      </w:r>
      <w:r w:rsidRPr="00FA5A13">
        <w:rPr>
          <w:rFonts w:ascii="Arial" w:hAnsi="Arial" w:cs="Arial"/>
          <w:color w:val="000000"/>
        </w:rPr>
        <w:t xml:space="preserve">female hourly pay rate. However, when viewed alongside </w:t>
      </w:r>
      <w:r w:rsidR="00D226FF">
        <w:rPr>
          <w:rFonts w:ascii="Arial" w:hAnsi="Arial" w:cs="Arial"/>
          <w:color w:val="000000"/>
        </w:rPr>
        <w:t>a</w:t>
      </w:r>
      <w:r w:rsidR="00C50E4F">
        <w:rPr>
          <w:rFonts w:ascii="Arial" w:hAnsi="Arial" w:cs="Arial"/>
          <w:color w:val="000000"/>
        </w:rPr>
        <w:t xml:space="preserve"> </w:t>
      </w:r>
      <w:r w:rsidR="0034546B">
        <w:rPr>
          <w:rFonts w:ascii="Arial" w:hAnsi="Arial" w:cs="Arial"/>
          <w:color w:val="000000"/>
        </w:rPr>
        <w:t>marginal</w:t>
      </w:r>
      <w:r w:rsidR="00D63E10" w:rsidRPr="009B6D06">
        <w:rPr>
          <w:rFonts w:ascii="Arial" w:hAnsi="Arial" w:cs="Arial"/>
          <w:color w:val="000000"/>
        </w:rPr>
        <w:t xml:space="preserve"> median gender pay gap of </w:t>
      </w:r>
      <w:r w:rsidR="00C50E4F">
        <w:rPr>
          <w:rFonts w:ascii="Arial" w:hAnsi="Arial" w:cs="Arial"/>
          <w:color w:val="000000"/>
        </w:rPr>
        <w:t>3.60</w:t>
      </w:r>
      <w:r w:rsidRPr="009B6D06">
        <w:rPr>
          <w:rFonts w:ascii="Arial" w:hAnsi="Arial" w:cs="Arial"/>
          <w:color w:val="000000"/>
        </w:rPr>
        <w:t xml:space="preserve">%, it is evident that the </w:t>
      </w:r>
      <w:r w:rsidRPr="00FA5A13">
        <w:rPr>
          <w:rFonts w:ascii="Arial" w:hAnsi="Arial" w:cs="Arial"/>
          <w:color w:val="000000"/>
        </w:rPr>
        <w:t xml:space="preserve">gender pay gap has been affected by extremes at either end of the scale, i.e. a male with a particularly high hourly rate and a female with a particularly low hourly rate.  </w:t>
      </w:r>
    </w:p>
    <w:p w14:paraId="65247E74" w14:textId="7C35D3AF" w:rsidR="005956E7" w:rsidRDefault="006B7F4D" w:rsidP="006B7F4D">
      <w:pPr>
        <w:autoSpaceDE w:val="0"/>
        <w:autoSpaceDN w:val="0"/>
        <w:adjustRightInd w:val="0"/>
        <w:spacing w:before="120"/>
        <w:jc w:val="both"/>
        <w:rPr>
          <w:rFonts w:ascii="Arial" w:hAnsi="Arial" w:cs="Arial"/>
          <w:color w:val="000000"/>
        </w:rPr>
      </w:pPr>
      <w:r w:rsidRPr="00FA5A13">
        <w:rPr>
          <w:rFonts w:ascii="Arial" w:hAnsi="Arial" w:cs="Arial"/>
          <w:color w:val="000000"/>
        </w:rPr>
        <w:t xml:space="preserve">In the case of Age UK Hertfordshire this is due to the high proportion of female staff </w:t>
      </w:r>
      <w:r w:rsidR="00D7473A">
        <w:rPr>
          <w:rFonts w:ascii="Arial" w:hAnsi="Arial" w:cs="Arial"/>
          <w:color w:val="000000"/>
        </w:rPr>
        <w:t xml:space="preserve">in </w:t>
      </w:r>
      <w:r w:rsidRPr="00FA5A13">
        <w:rPr>
          <w:rFonts w:ascii="Arial" w:hAnsi="Arial" w:cs="Arial"/>
          <w:color w:val="000000"/>
        </w:rPr>
        <w:t>casual work</w:t>
      </w:r>
      <w:r w:rsidR="00D7473A">
        <w:rPr>
          <w:rFonts w:ascii="Arial" w:hAnsi="Arial" w:cs="Arial"/>
          <w:color w:val="000000"/>
        </w:rPr>
        <w:t>ing roles</w:t>
      </w:r>
      <w:r w:rsidR="00BA2B04">
        <w:rPr>
          <w:rFonts w:ascii="Arial" w:hAnsi="Arial" w:cs="Arial"/>
          <w:color w:val="000000"/>
        </w:rPr>
        <w:t>,</w:t>
      </w:r>
      <w:r w:rsidR="007F4ADB">
        <w:rPr>
          <w:rFonts w:ascii="Arial" w:hAnsi="Arial" w:cs="Arial"/>
          <w:color w:val="000000"/>
        </w:rPr>
        <w:t xml:space="preserve"> which make up 66% of the total workforce and</w:t>
      </w:r>
      <w:r w:rsidRPr="00FA5A13">
        <w:rPr>
          <w:rFonts w:ascii="Arial" w:hAnsi="Arial" w:cs="Arial"/>
          <w:color w:val="000000"/>
        </w:rPr>
        <w:t xml:space="preserve"> generally attract a lower salary than our permanent roles</w:t>
      </w:r>
      <w:r w:rsidR="006B3B63">
        <w:rPr>
          <w:rFonts w:ascii="Arial" w:hAnsi="Arial" w:cs="Arial"/>
          <w:color w:val="000000"/>
        </w:rPr>
        <w:t xml:space="preserve">. These roles </w:t>
      </w:r>
      <w:r w:rsidR="00195CC8">
        <w:rPr>
          <w:rFonts w:ascii="Arial" w:hAnsi="Arial" w:cs="Arial"/>
          <w:color w:val="000000"/>
        </w:rPr>
        <w:t>mainly occupy the lower two quartiles</w:t>
      </w:r>
      <w:r w:rsidRPr="00FA5A13">
        <w:rPr>
          <w:rFonts w:ascii="Arial" w:hAnsi="Arial" w:cs="Arial"/>
          <w:color w:val="000000"/>
        </w:rPr>
        <w:t>.  Additionally</w:t>
      </w:r>
      <w:r w:rsidR="00404BFD">
        <w:rPr>
          <w:rFonts w:ascii="Arial" w:hAnsi="Arial" w:cs="Arial"/>
          <w:color w:val="000000"/>
        </w:rPr>
        <w:t xml:space="preserve">, of the </w:t>
      </w:r>
      <w:r w:rsidR="0009657C">
        <w:rPr>
          <w:rFonts w:ascii="Arial" w:hAnsi="Arial" w:cs="Arial"/>
          <w:color w:val="000000"/>
        </w:rPr>
        <w:t xml:space="preserve">5 </w:t>
      </w:r>
      <w:r w:rsidR="00404BFD">
        <w:rPr>
          <w:rFonts w:ascii="Arial" w:hAnsi="Arial" w:cs="Arial"/>
          <w:color w:val="000000"/>
        </w:rPr>
        <w:t xml:space="preserve">senior </w:t>
      </w:r>
      <w:r w:rsidR="009E53C9">
        <w:rPr>
          <w:rFonts w:ascii="Arial" w:hAnsi="Arial" w:cs="Arial"/>
          <w:color w:val="000000"/>
        </w:rPr>
        <w:t>leadership</w:t>
      </w:r>
      <w:r w:rsidRPr="00FA5A13">
        <w:rPr>
          <w:rFonts w:ascii="Arial" w:hAnsi="Arial" w:cs="Arial"/>
          <w:color w:val="000000"/>
        </w:rPr>
        <w:t xml:space="preserve"> roles in the organisation</w:t>
      </w:r>
      <w:r w:rsidR="008B76EE">
        <w:rPr>
          <w:rFonts w:ascii="Arial" w:hAnsi="Arial" w:cs="Arial"/>
          <w:color w:val="000000"/>
        </w:rPr>
        <w:t xml:space="preserve"> which sit in the upper quartile</w:t>
      </w:r>
      <w:r w:rsidRPr="00FA5A13">
        <w:rPr>
          <w:rFonts w:ascii="Arial" w:hAnsi="Arial" w:cs="Arial"/>
          <w:color w:val="000000"/>
        </w:rPr>
        <w:t xml:space="preserve">, </w:t>
      </w:r>
      <w:r w:rsidR="0009657C">
        <w:rPr>
          <w:rFonts w:ascii="Arial" w:hAnsi="Arial" w:cs="Arial"/>
          <w:color w:val="000000"/>
        </w:rPr>
        <w:t>3 of those</w:t>
      </w:r>
      <w:r w:rsidRPr="00FA5A13">
        <w:rPr>
          <w:rFonts w:ascii="Arial" w:hAnsi="Arial" w:cs="Arial"/>
          <w:color w:val="000000"/>
        </w:rPr>
        <w:t xml:space="preserve"> are occupied by male staf</w:t>
      </w:r>
      <w:r w:rsidR="00AE4192">
        <w:rPr>
          <w:rFonts w:ascii="Arial" w:hAnsi="Arial" w:cs="Arial"/>
          <w:color w:val="000000"/>
        </w:rPr>
        <w:t>f</w:t>
      </w:r>
      <w:r w:rsidR="00C20E59">
        <w:rPr>
          <w:rFonts w:ascii="Arial" w:hAnsi="Arial" w:cs="Arial"/>
          <w:color w:val="000000"/>
        </w:rPr>
        <w:t>.</w:t>
      </w:r>
    </w:p>
    <w:p w14:paraId="0B08C351" w14:textId="50CFA16D" w:rsidR="000F0071" w:rsidRDefault="00C80BB2" w:rsidP="000F0071">
      <w:pPr>
        <w:autoSpaceDE w:val="0"/>
        <w:autoSpaceDN w:val="0"/>
        <w:adjustRightInd w:val="0"/>
        <w:spacing w:before="120"/>
        <w:jc w:val="both"/>
        <w:rPr>
          <w:rFonts w:ascii="Arial" w:hAnsi="Arial" w:cs="Arial"/>
          <w:color w:val="000000"/>
        </w:rPr>
      </w:pPr>
      <w:r>
        <w:rPr>
          <w:rFonts w:ascii="Arial" w:hAnsi="Arial" w:cs="Arial"/>
        </w:rPr>
        <w:t>Due to the s</w:t>
      </w:r>
      <w:r w:rsidR="006B7F4D" w:rsidRPr="00333959">
        <w:rPr>
          <w:rFonts w:ascii="Arial" w:hAnsi="Arial" w:cs="Arial"/>
        </w:rPr>
        <w:t>mall</w:t>
      </w:r>
      <w:r>
        <w:rPr>
          <w:rFonts w:ascii="Arial" w:hAnsi="Arial" w:cs="Arial"/>
        </w:rPr>
        <w:t xml:space="preserve"> </w:t>
      </w:r>
      <w:r w:rsidR="00914BAF">
        <w:rPr>
          <w:rFonts w:ascii="Arial" w:hAnsi="Arial" w:cs="Arial"/>
        </w:rPr>
        <w:t>total</w:t>
      </w:r>
      <w:r w:rsidR="006B7F4D" w:rsidRPr="00333959">
        <w:rPr>
          <w:rFonts w:ascii="Arial" w:hAnsi="Arial" w:cs="Arial"/>
        </w:rPr>
        <w:t xml:space="preserve"> </w:t>
      </w:r>
      <w:r w:rsidR="00333959">
        <w:rPr>
          <w:rFonts w:ascii="Arial" w:hAnsi="Arial" w:cs="Arial"/>
        </w:rPr>
        <w:t>number</w:t>
      </w:r>
      <w:r w:rsidR="006B7F4D" w:rsidRPr="0064095D">
        <w:rPr>
          <w:rFonts w:ascii="Arial" w:hAnsi="Arial" w:cs="Arial"/>
        </w:rPr>
        <w:t xml:space="preserve"> of male staff</w:t>
      </w:r>
      <w:r w:rsidR="006C040A">
        <w:rPr>
          <w:rFonts w:ascii="Arial" w:hAnsi="Arial" w:cs="Arial"/>
        </w:rPr>
        <w:t>,</w:t>
      </w:r>
      <w:r w:rsidR="006B7F4D" w:rsidRPr="0064095D">
        <w:rPr>
          <w:rFonts w:ascii="Arial" w:hAnsi="Arial" w:cs="Arial"/>
        </w:rPr>
        <w:t xml:space="preserve"> any changes</w:t>
      </w:r>
      <w:r w:rsidR="006C040A">
        <w:rPr>
          <w:rFonts w:ascii="Arial" w:hAnsi="Arial" w:cs="Arial"/>
        </w:rPr>
        <w:t>,</w:t>
      </w:r>
      <w:r w:rsidR="006B7F4D">
        <w:rPr>
          <w:rFonts w:ascii="Arial" w:hAnsi="Arial" w:cs="Arial"/>
        </w:rPr>
        <w:t xml:space="preserve"> either </w:t>
      </w:r>
      <w:r w:rsidR="006B7F4D" w:rsidRPr="0064095D">
        <w:rPr>
          <w:rFonts w:ascii="Arial" w:hAnsi="Arial" w:cs="Arial"/>
        </w:rPr>
        <w:t>in the type of posts held by male staff or the overall numbers of male staff</w:t>
      </w:r>
      <w:r w:rsidR="006B7F4D">
        <w:rPr>
          <w:rFonts w:ascii="Arial" w:hAnsi="Arial" w:cs="Arial"/>
        </w:rPr>
        <w:t>,</w:t>
      </w:r>
      <w:r w:rsidR="006B7F4D" w:rsidRPr="0064095D">
        <w:rPr>
          <w:rFonts w:ascii="Arial" w:hAnsi="Arial" w:cs="Arial"/>
        </w:rPr>
        <w:t xml:space="preserve"> can have an impact on </w:t>
      </w:r>
      <w:r w:rsidR="00E77011">
        <w:rPr>
          <w:rFonts w:ascii="Arial" w:hAnsi="Arial" w:cs="Arial"/>
        </w:rPr>
        <w:t>the gender pay gap figures.</w:t>
      </w:r>
      <w:r w:rsidR="006B7F4D" w:rsidRPr="0064095D">
        <w:rPr>
          <w:rFonts w:ascii="Arial" w:hAnsi="Arial" w:cs="Arial"/>
        </w:rPr>
        <w:t xml:space="preserve"> </w:t>
      </w:r>
    </w:p>
    <w:p w14:paraId="01E2AB38" w14:textId="0350E356" w:rsidR="00DB7ACE" w:rsidRDefault="000270B1" w:rsidP="006B7F4D">
      <w:pPr>
        <w:autoSpaceDE w:val="0"/>
        <w:autoSpaceDN w:val="0"/>
        <w:adjustRightInd w:val="0"/>
        <w:spacing w:before="120"/>
        <w:jc w:val="both"/>
        <w:rPr>
          <w:rFonts w:ascii="Arial" w:hAnsi="Arial" w:cs="Arial"/>
          <w:color w:val="000000"/>
        </w:rPr>
      </w:pPr>
      <w:r>
        <w:rPr>
          <w:rFonts w:ascii="Arial" w:hAnsi="Arial" w:cs="Arial"/>
        </w:rPr>
        <w:t>Following a</w:t>
      </w:r>
      <w:r w:rsidR="00A447A0">
        <w:rPr>
          <w:rFonts w:ascii="Arial" w:hAnsi="Arial" w:cs="Arial"/>
        </w:rPr>
        <w:t xml:space="preserve"> </w:t>
      </w:r>
      <w:r w:rsidR="00295625">
        <w:rPr>
          <w:rFonts w:ascii="Arial" w:hAnsi="Arial" w:cs="Arial"/>
        </w:rPr>
        <w:t>small number of males</w:t>
      </w:r>
      <w:r w:rsidR="00AA067D">
        <w:rPr>
          <w:rFonts w:ascii="Arial" w:hAnsi="Arial" w:cs="Arial"/>
        </w:rPr>
        <w:t xml:space="preserve"> recently be</w:t>
      </w:r>
      <w:r>
        <w:rPr>
          <w:rFonts w:ascii="Arial" w:hAnsi="Arial" w:cs="Arial"/>
        </w:rPr>
        <w:t>ing</w:t>
      </w:r>
      <w:r w:rsidR="00295625">
        <w:rPr>
          <w:rFonts w:ascii="Arial" w:hAnsi="Arial" w:cs="Arial"/>
        </w:rPr>
        <w:t xml:space="preserve"> recruited into</w:t>
      </w:r>
      <w:r w:rsidR="00A447A0">
        <w:rPr>
          <w:rFonts w:ascii="Arial" w:hAnsi="Arial" w:cs="Arial"/>
        </w:rPr>
        <w:t xml:space="preserve"> </w:t>
      </w:r>
      <w:r w:rsidR="008E3AE2">
        <w:rPr>
          <w:rFonts w:ascii="Arial" w:hAnsi="Arial" w:cs="Arial"/>
        </w:rPr>
        <w:t>admin</w:t>
      </w:r>
      <w:r w:rsidR="007308D3">
        <w:rPr>
          <w:rFonts w:ascii="Arial" w:hAnsi="Arial" w:cs="Arial"/>
        </w:rPr>
        <w:t>istrative</w:t>
      </w:r>
      <w:r w:rsidR="008E3AE2">
        <w:rPr>
          <w:rFonts w:ascii="Arial" w:hAnsi="Arial" w:cs="Arial"/>
        </w:rPr>
        <w:t xml:space="preserve"> roles, which </w:t>
      </w:r>
      <w:r w:rsidR="00A447A0">
        <w:rPr>
          <w:rFonts w:ascii="Arial" w:hAnsi="Arial" w:cs="Arial"/>
        </w:rPr>
        <w:t>have fallen</w:t>
      </w:r>
      <w:r w:rsidR="008E3AE2">
        <w:rPr>
          <w:rFonts w:ascii="Arial" w:hAnsi="Arial" w:cs="Arial"/>
        </w:rPr>
        <w:t xml:space="preserve"> into the upper higher quartile, </w:t>
      </w:r>
      <w:r w:rsidR="00CB71EB">
        <w:rPr>
          <w:rFonts w:ascii="Arial" w:hAnsi="Arial" w:cs="Arial"/>
          <w:color w:val="000000"/>
        </w:rPr>
        <w:t>and</w:t>
      </w:r>
      <w:r w:rsidR="00CB71EB" w:rsidRPr="008C5CEE">
        <w:rPr>
          <w:rFonts w:ascii="Arial" w:hAnsi="Arial" w:cs="Arial"/>
          <w:color w:val="000000"/>
        </w:rPr>
        <w:t xml:space="preserve"> the introduction of a new Handyperson and Gardening service, which generally attracts male workers, there has been an increase in male employees by almost </w:t>
      </w:r>
      <w:r w:rsidR="00CB71EB">
        <w:rPr>
          <w:rFonts w:ascii="Arial" w:hAnsi="Arial" w:cs="Arial"/>
          <w:color w:val="000000"/>
        </w:rPr>
        <w:t>100</w:t>
      </w:r>
      <w:r w:rsidR="00CB71EB" w:rsidRPr="008C5CEE">
        <w:rPr>
          <w:rFonts w:ascii="Arial" w:hAnsi="Arial" w:cs="Arial"/>
          <w:color w:val="000000"/>
        </w:rPr>
        <w:t>% since the previous year.</w:t>
      </w:r>
      <w:r w:rsidR="00CB71EB">
        <w:rPr>
          <w:rFonts w:ascii="Arial" w:hAnsi="Arial" w:cs="Arial"/>
          <w:color w:val="000000"/>
        </w:rPr>
        <w:t xml:space="preserve"> </w:t>
      </w:r>
      <w:r w:rsidR="0050551B">
        <w:rPr>
          <w:rFonts w:ascii="Arial" w:hAnsi="Arial" w:cs="Arial"/>
        </w:rPr>
        <w:t>The</w:t>
      </w:r>
      <w:r w:rsidR="006676E0">
        <w:rPr>
          <w:rFonts w:ascii="Arial" w:hAnsi="Arial" w:cs="Arial"/>
        </w:rPr>
        <w:t xml:space="preserve"> </w:t>
      </w:r>
      <w:r w:rsidR="00D70670">
        <w:rPr>
          <w:rFonts w:ascii="Arial" w:hAnsi="Arial" w:cs="Arial"/>
        </w:rPr>
        <w:t xml:space="preserve">increase in males recruited </w:t>
      </w:r>
      <w:r w:rsidR="00937624">
        <w:rPr>
          <w:rFonts w:ascii="Arial" w:hAnsi="Arial" w:cs="Arial"/>
        </w:rPr>
        <w:t>overall</w:t>
      </w:r>
      <w:r w:rsidR="00FA55F5">
        <w:rPr>
          <w:rFonts w:ascii="Arial" w:hAnsi="Arial" w:cs="Arial"/>
        </w:rPr>
        <w:t>, which</w:t>
      </w:r>
      <w:r w:rsidR="00937624">
        <w:rPr>
          <w:rFonts w:ascii="Arial" w:hAnsi="Arial" w:cs="Arial"/>
        </w:rPr>
        <w:t xml:space="preserve"> is reflected</w:t>
      </w:r>
      <w:r w:rsidR="00D52912">
        <w:rPr>
          <w:rFonts w:ascii="Arial" w:hAnsi="Arial" w:cs="Arial"/>
        </w:rPr>
        <w:t xml:space="preserve"> in</w:t>
      </w:r>
      <w:r w:rsidR="00D52912">
        <w:rPr>
          <w:rFonts w:ascii="Arial" w:hAnsi="Arial" w:cs="Arial"/>
          <w:color w:val="000000"/>
        </w:rPr>
        <w:t xml:space="preserve"> the</w:t>
      </w:r>
      <w:r w:rsidR="005460E2">
        <w:rPr>
          <w:rFonts w:ascii="Arial" w:hAnsi="Arial" w:cs="Arial"/>
          <w:color w:val="000000"/>
        </w:rPr>
        <w:t xml:space="preserve"> changes to the</w:t>
      </w:r>
      <w:r w:rsidR="00D52912">
        <w:rPr>
          <w:rFonts w:ascii="Arial" w:hAnsi="Arial" w:cs="Arial"/>
          <w:color w:val="000000"/>
        </w:rPr>
        <w:t xml:space="preserve"> upper two quartiles</w:t>
      </w:r>
      <w:r w:rsidR="00494797">
        <w:rPr>
          <w:rFonts w:ascii="Arial" w:hAnsi="Arial" w:cs="Arial"/>
          <w:color w:val="000000"/>
        </w:rPr>
        <w:t>,</w:t>
      </w:r>
      <w:r w:rsidR="00FA55F5">
        <w:rPr>
          <w:rFonts w:ascii="Arial" w:hAnsi="Arial" w:cs="Arial"/>
          <w:color w:val="000000"/>
        </w:rPr>
        <w:t xml:space="preserve"> </w:t>
      </w:r>
      <w:r w:rsidR="00494797">
        <w:rPr>
          <w:rFonts w:ascii="Arial" w:hAnsi="Arial" w:cs="Arial"/>
          <w:color w:val="000000"/>
        </w:rPr>
        <w:t xml:space="preserve">has reduced the mean gender pay gap from the previous year, of </w:t>
      </w:r>
      <w:r w:rsidR="00E9325A">
        <w:rPr>
          <w:rFonts w:ascii="Arial" w:hAnsi="Arial" w:cs="Arial"/>
          <w:color w:val="000000"/>
        </w:rPr>
        <w:t>22.32%.</w:t>
      </w:r>
    </w:p>
    <w:p w14:paraId="1D9E01B6" w14:textId="5614C031" w:rsidR="0089680C" w:rsidRDefault="00C16A72" w:rsidP="00B10133">
      <w:pPr>
        <w:autoSpaceDE w:val="0"/>
        <w:autoSpaceDN w:val="0"/>
        <w:adjustRightInd w:val="0"/>
        <w:spacing w:before="120" w:after="240"/>
        <w:jc w:val="both"/>
        <w:rPr>
          <w:rFonts w:ascii="Arial" w:hAnsi="Arial" w:cs="Arial"/>
          <w:color w:val="000000"/>
        </w:rPr>
      </w:pPr>
      <w:r>
        <w:rPr>
          <w:rFonts w:ascii="Arial" w:hAnsi="Arial" w:cs="Arial"/>
          <w:color w:val="000000"/>
        </w:rPr>
        <w:t>However, t</w:t>
      </w:r>
      <w:r w:rsidR="006B7F4D" w:rsidRPr="00FA5A13">
        <w:rPr>
          <w:rFonts w:ascii="Arial" w:hAnsi="Arial" w:cs="Arial"/>
          <w:color w:val="000000"/>
        </w:rPr>
        <w:t>he</w:t>
      </w:r>
      <w:r w:rsidR="00327913">
        <w:rPr>
          <w:rFonts w:ascii="Arial" w:hAnsi="Arial" w:cs="Arial"/>
          <w:color w:val="000000"/>
        </w:rPr>
        <w:t xml:space="preserve"> </w:t>
      </w:r>
      <w:r w:rsidR="006B7F4D" w:rsidRPr="00FA5A13">
        <w:rPr>
          <w:rFonts w:ascii="Arial" w:hAnsi="Arial" w:cs="Arial"/>
          <w:color w:val="000000"/>
        </w:rPr>
        <w:t>proportion of males and females in each pay quartile shows that, while the number of females employed within the organisation is much higher than males (which is consistent with the industry standard), the split acro</w:t>
      </w:r>
      <w:r w:rsidR="006B7F4D">
        <w:rPr>
          <w:rFonts w:ascii="Arial" w:hAnsi="Arial" w:cs="Arial"/>
          <w:color w:val="000000"/>
        </w:rPr>
        <w:t xml:space="preserve">ss </w:t>
      </w:r>
      <w:r w:rsidR="006B7F4D" w:rsidRPr="00FA5A13">
        <w:rPr>
          <w:rFonts w:ascii="Arial" w:hAnsi="Arial" w:cs="Arial"/>
          <w:color w:val="000000"/>
        </w:rPr>
        <w:t xml:space="preserve">pay quartiles is </w:t>
      </w:r>
      <w:r w:rsidR="00333959">
        <w:rPr>
          <w:rFonts w:ascii="Arial" w:hAnsi="Arial" w:cs="Arial"/>
          <w:color w:val="000000"/>
        </w:rPr>
        <w:t xml:space="preserve">still </w:t>
      </w:r>
      <w:r w:rsidR="006B7F4D" w:rsidRPr="00FA5A13">
        <w:rPr>
          <w:rFonts w:ascii="Arial" w:hAnsi="Arial" w:cs="Arial"/>
          <w:color w:val="000000"/>
        </w:rPr>
        <w:t xml:space="preserve">fairly even. </w:t>
      </w:r>
    </w:p>
    <w:p w14:paraId="522D19AB" w14:textId="77777777" w:rsidR="008D3E7B" w:rsidRPr="0089680C" w:rsidRDefault="008D3E7B" w:rsidP="00B10133">
      <w:pPr>
        <w:autoSpaceDE w:val="0"/>
        <w:autoSpaceDN w:val="0"/>
        <w:adjustRightInd w:val="0"/>
        <w:spacing w:before="120" w:after="240"/>
        <w:jc w:val="both"/>
        <w:rPr>
          <w:rFonts w:ascii="Arial" w:hAnsi="Arial" w:cs="Arial"/>
          <w:color w:val="000000"/>
        </w:rPr>
      </w:pPr>
    </w:p>
    <w:p w14:paraId="3744156E" w14:textId="77777777" w:rsidR="006B7F4D" w:rsidRPr="00FA5A13" w:rsidRDefault="006B7F4D" w:rsidP="006B7F4D">
      <w:pPr>
        <w:autoSpaceDE w:val="0"/>
        <w:autoSpaceDN w:val="0"/>
        <w:adjustRightInd w:val="0"/>
        <w:spacing w:before="120"/>
        <w:jc w:val="both"/>
        <w:rPr>
          <w:rFonts w:ascii="Arial" w:hAnsi="Arial" w:cs="Arial"/>
          <w:b/>
        </w:rPr>
      </w:pPr>
      <w:r w:rsidRPr="00FA5A13">
        <w:rPr>
          <w:rFonts w:ascii="Arial" w:hAnsi="Arial" w:cs="Arial"/>
          <w:b/>
          <w:color w:val="000000"/>
        </w:rPr>
        <w:t xml:space="preserve">What we are doing about our Gender Pay Gap </w:t>
      </w:r>
    </w:p>
    <w:p w14:paraId="49F6F53A" w14:textId="6BC18C98" w:rsidR="006B7F4D" w:rsidRPr="00FA5A13" w:rsidRDefault="006B7F4D" w:rsidP="00C16A72">
      <w:pPr>
        <w:autoSpaceDE w:val="0"/>
        <w:autoSpaceDN w:val="0"/>
        <w:adjustRightInd w:val="0"/>
        <w:spacing w:before="120" w:after="240"/>
        <w:jc w:val="both"/>
        <w:rPr>
          <w:rFonts w:ascii="Arial" w:hAnsi="Arial" w:cs="Arial"/>
          <w:color w:val="000000"/>
        </w:rPr>
      </w:pPr>
      <w:r w:rsidRPr="00FA5A13">
        <w:rPr>
          <w:rFonts w:ascii="Arial" w:hAnsi="Arial" w:cs="Arial"/>
          <w:color w:val="000000"/>
        </w:rPr>
        <w:t xml:space="preserve">Age UK Hertfordshire is committed to the </w:t>
      </w:r>
      <w:r w:rsidR="00145A64">
        <w:rPr>
          <w:rFonts w:ascii="Arial" w:hAnsi="Arial" w:cs="Arial"/>
          <w:color w:val="000000"/>
        </w:rPr>
        <w:t>application</w:t>
      </w:r>
      <w:r w:rsidRPr="00FA5A13">
        <w:rPr>
          <w:rFonts w:ascii="Arial" w:hAnsi="Arial" w:cs="Arial"/>
          <w:color w:val="000000"/>
        </w:rPr>
        <w:t xml:space="preserv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 </w:t>
      </w:r>
    </w:p>
    <w:p w14:paraId="222A8ADD" w14:textId="311100E7" w:rsidR="006B7F4D" w:rsidRPr="00FA5A13" w:rsidRDefault="006B7F4D" w:rsidP="00C16A72">
      <w:pPr>
        <w:numPr>
          <w:ilvl w:val="0"/>
          <w:numId w:val="13"/>
        </w:numPr>
        <w:autoSpaceDE w:val="0"/>
        <w:autoSpaceDN w:val="0"/>
        <w:adjustRightInd w:val="0"/>
        <w:spacing w:before="120" w:after="240"/>
        <w:jc w:val="both"/>
        <w:rPr>
          <w:rFonts w:ascii="Arial" w:hAnsi="Arial" w:cs="Arial"/>
          <w:color w:val="000000"/>
        </w:rPr>
      </w:pPr>
      <w:r w:rsidRPr="00FA5A13">
        <w:rPr>
          <w:rFonts w:ascii="Arial" w:hAnsi="Arial" w:cs="Arial"/>
          <w:color w:val="000000"/>
        </w:rPr>
        <w:t xml:space="preserve">has a salary structure which shows progression through pay scales alongside a robust </w:t>
      </w:r>
      <w:r w:rsidR="00674071">
        <w:rPr>
          <w:rFonts w:ascii="Arial" w:hAnsi="Arial" w:cs="Arial"/>
          <w:color w:val="000000"/>
        </w:rPr>
        <w:t>review</w:t>
      </w:r>
      <w:r w:rsidR="00DE7E26">
        <w:rPr>
          <w:rFonts w:ascii="Arial" w:hAnsi="Arial" w:cs="Arial"/>
          <w:color w:val="000000"/>
        </w:rPr>
        <w:t xml:space="preserve"> </w:t>
      </w:r>
      <w:r w:rsidRPr="00FA5A13">
        <w:rPr>
          <w:rFonts w:ascii="Arial" w:hAnsi="Arial" w:cs="Arial"/>
          <w:color w:val="000000"/>
        </w:rPr>
        <w:t xml:space="preserve">process </w:t>
      </w:r>
    </w:p>
    <w:p w14:paraId="1B065527" w14:textId="5A22730F" w:rsidR="006D6934" w:rsidRPr="00C16A72" w:rsidRDefault="006B7F4D" w:rsidP="00C16A72">
      <w:pPr>
        <w:numPr>
          <w:ilvl w:val="0"/>
          <w:numId w:val="13"/>
        </w:numPr>
        <w:autoSpaceDE w:val="0"/>
        <w:autoSpaceDN w:val="0"/>
        <w:adjustRightInd w:val="0"/>
        <w:spacing w:before="120" w:after="240"/>
        <w:jc w:val="both"/>
        <w:rPr>
          <w:rFonts w:ascii="Arial" w:hAnsi="Arial" w:cs="Arial"/>
          <w:color w:val="000000"/>
        </w:rPr>
      </w:pPr>
      <w:r w:rsidRPr="00FA5A13">
        <w:rPr>
          <w:rFonts w:ascii="Arial" w:hAnsi="Arial" w:cs="Arial"/>
          <w:color w:val="000000"/>
        </w:rPr>
        <w:t xml:space="preserve">evaluates job roles and pay grades as necessary to ensure a fair structure. </w:t>
      </w:r>
    </w:p>
    <w:p w14:paraId="7A84A158" w14:textId="77777777" w:rsidR="006B7F4D" w:rsidRPr="00FA5A13" w:rsidRDefault="006B7F4D" w:rsidP="006B7F4D">
      <w:pPr>
        <w:autoSpaceDE w:val="0"/>
        <w:autoSpaceDN w:val="0"/>
        <w:adjustRightInd w:val="0"/>
        <w:spacing w:before="120"/>
        <w:jc w:val="both"/>
        <w:rPr>
          <w:rFonts w:ascii="Arial" w:hAnsi="Arial" w:cs="Arial"/>
        </w:rPr>
      </w:pPr>
      <w:r w:rsidRPr="00FA5A13">
        <w:rPr>
          <w:rFonts w:ascii="Arial" w:hAnsi="Arial" w:cs="Arial"/>
          <w:color w:val="000000"/>
        </w:rPr>
        <w:t xml:space="preserve">Age UK Hertfordshire is therefore confident that its gender pay gap does not stem from paying men and women differently for the same or equivalent work. Rather its gender pay gap is the result of the proportion of women to men within the organisation, the roles in which men and women work within the organisation and the salaries that these roles attract. </w:t>
      </w:r>
    </w:p>
    <w:p w14:paraId="76261B74" w14:textId="071F8984" w:rsidR="00B10133" w:rsidRPr="00B10133" w:rsidRDefault="006B7F4D" w:rsidP="00B10133">
      <w:pPr>
        <w:autoSpaceDE w:val="0"/>
        <w:autoSpaceDN w:val="0"/>
        <w:adjustRightInd w:val="0"/>
        <w:spacing w:before="120" w:after="240"/>
        <w:jc w:val="both"/>
        <w:rPr>
          <w:rFonts w:ascii="Arial" w:hAnsi="Arial" w:cs="Arial"/>
          <w:color w:val="000000"/>
        </w:rPr>
      </w:pPr>
      <w:r w:rsidRPr="00FA5A13">
        <w:rPr>
          <w:rFonts w:ascii="Arial" w:hAnsi="Arial" w:cs="Arial"/>
          <w:color w:val="000000"/>
        </w:rPr>
        <w:t xml:space="preserve">While Age UK Hertfordshire’s gender pay gap is </w:t>
      </w:r>
      <w:r>
        <w:rPr>
          <w:rFonts w:ascii="Arial" w:hAnsi="Arial" w:cs="Arial"/>
          <w:color w:val="000000"/>
        </w:rPr>
        <w:t xml:space="preserve">in </w:t>
      </w:r>
      <w:r w:rsidRPr="00FA5A13">
        <w:rPr>
          <w:rFonts w:ascii="Arial" w:hAnsi="Arial" w:cs="Arial"/>
          <w:color w:val="000000"/>
        </w:rPr>
        <w:t xml:space="preserve">line with that of other organisations within the voluntary sector, Age UK Hertfordshire is committed to doing everything it </w:t>
      </w:r>
      <w:r w:rsidRPr="00E77011">
        <w:rPr>
          <w:rFonts w:ascii="Arial" w:hAnsi="Arial" w:cs="Arial"/>
          <w:color w:val="000000"/>
        </w:rPr>
        <w:t xml:space="preserve">can to maintain and, if possible, reduce the gap.  </w:t>
      </w:r>
    </w:p>
    <w:p w14:paraId="318BFAAD" w14:textId="2DC05D41" w:rsidR="00B10133" w:rsidRDefault="00333959" w:rsidP="00B10133">
      <w:pPr>
        <w:autoSpaceDE w:val="0"/>
        <w:autoSpaceDN w:val="0"/>
        <w:adjustRightInd w:val="0"/>
        <w:spacing w:before="120"/>
        <w:jc w:val="both"/>
        <w:rPr>
          <w:rFonts w:ascii="Arial" w:hAnsi="Arial" w:cs="Arial"/>
        </w:rPr>
      </w:pPr>
      <w:r w:rsidRPr="00E77011">
        <w:rPr>
          <w:rFonts w:ascii="Arial" w:hAnsi="Arial" w:cs="Arial"/>
        </w:rPr>
        <w:lastRenderedPageBreak/>
        <w:t>As an example of this,</w:t>
      </w:r>
      <w:r w:rsidR="002E491F">
        <w:rPr>
          <w:rFonts w:ascii="Arial" w:hAnsi="Arial" w:cs="Arial"/>
        </w:rPr>
        <w:t xml:space="preserve"> </w:t>
      </w:r>
      <w:r w:rsidR="00F132C3" w:rsidRPr="00E77011">
        <w:rPr>
          <w:rFonts w:ascii="Arial" w:hAnsi="Arial" w:cs="Arial"/>
        </w:rPr>
        <w:t xml:space="preserve">we </w:t>
      </w:r>
      <w:r w:rsidR="003A6DEE">
        <w:rPr>
          <w:rFonts w:ascii="Arial" w:hAnsi="Arial" w:cs="Arial"/>
        </w:rPr>
        <w:t>have</w:t>
      </w:r>
      <w:r w:rsidR="00B10133">
        <w:rPr>
          <w:rFonts w:ascii="Arial" w:hAnsi="Arial" w:cs="Arial"/>
        </w:rPr>
        <w:t>:</w:t>
      </w:r>
    </w:p>
    <w:p w14:paraId="088E9BD5" w14:textId="66EEDC4F" w:rsidR="00E03201" w:rsidRDefault="005D57DB" w:rsidP="0036043F">
      <w:pPr>
        <w:pStyle w:val="ListParagraph"/>
        <w:numPr>
          <w:ilvl w:val="0"/>
          <w:numId w:val="23"/>
        </w:numPr>
        <w:autoSpaceDE w:val="0"/>
        <w:autoSpaceDN w:val="0"/>
        <w:adjustRightInd w:val="0"/>
        <w:spacing w:before="120"/>
        <w:jc w:val="both"/>
        <w:rPr>
          <w:rFonts w:ascii="Arial" w:hAnsi="Arial" w:cs="Arial"/>
        </w:rPr>
      </w:pPr>
      <w:r w:rsidRPr="008D3E7B">
        <w:rPr>
          <w:rFonts w:ascii="Arial" w:hAnsi="Arial" w:cs="Arial"/>
        </w:rPr>
        <w:t>A</w:t>
      </w:r>
      <w:r w:rsidR="003A6DEE" w:rsidRPr="008D3E7B">
        <w:rPr>
          <w:rFonts w:ascii="Arial" w:hAnsi="Arial" w:cs="Arial"/>
        </w:rPr>
        <w:t>ssigned</w:t>
      </w:r>
      <w:r w:rsidR="00F132C3" w:rsidRPr="008D3E7B">
        <w:rPr>
          <w:rFonts w:ascii="Arial" w:hAnsi="Arial" w:cs="Arial"/>
        </w:rPr>
        <w:t xml:space="preserve"> </w:t>
      </w:r>
      <w:r w:rsidRPr="008D3E7B">
        <w:rPr>
          <w:rFonts w:ascii="Arial" w:hAnsi="Arial" w:cs="Arial"/>
        </w:rPr>
        <w:t xml:space="preserve">an </w:t>
      </w:r>
      <w:r w:rsidR="00F132C3" w:rsidRPr="008D3E7B">
        <w:rPr>
          <w:rFonts w:ascii="Arial" w:hAnsi="Arial" w:cs="Arial"/>
        </w:rPr>
        <w:t xml:space="preserve">Equality &amp; Diversity Champion </w:t>
      </w:r>
      <w:r w:rsidR="00AF03F5" w:rsidRPr="008D3E7B">
        <w:rPr>
          <w:rFonts w:ascii="Arial" w:hAnsi="Arial" w:cs="Arial"/>
        </w:rPr>
        <w:t>for</w:t>
      </w:r>
      <w:r w:rsidR="00F132C3" w:rsidRPr="008D3E7B">
        <w:rPr>
          <w:rFonts w:ascii="Arial" w:hAnsi="Arial" w:cs="Arial"/>
        </w:rPr>
        <w:t xml:space="preserve"> our organisation, </w:t>
      </w:r>
      <w:r w:rsidR="00AF03F5" w:rsidRPr="008D3E7B">
        <w:rPr>
          <w:rFonts w:ascii="Arial" w:hAnsi="Arial" w:cs="Arial"/>
        </w:rPr>
        <w:t xml:space="preserve">with the intent to ensure that we fully apply equality and inclusion throughout </w:t>
      </w:r>
      <w:r w:rsidR="005C2FBE" w:rsidRPr="008D3E7B">
        <w:rPr>
          <w:rFonts w:ascii="Arial" w:hAnsi="Arial" w:cs="Arial"/>
        </w:rPr>
        <w:t>all</w:t>
      </w:r>
      <w:r w:rsidR="00AF03F5" w:rsidRPr="008D3E7B">
        <w:rPr>
          <w:rFonts w:ascii="Arial" w:hAnsi="Arial" w:cs="Arial"/>
        </w:rPr>
        <w:t xml:space="preserve"> workplace pr</w:t>
      </w:r>
      <w:r w:rsidR="00F575B9" w:rsidRPr="008D3E7B">
        <w:rPr>
          <w:rFonts w:ascii="Arial" w:hAnsi="Arial" w:cs="Arial"/>
        </w:rPr>
        <w:t>actices</w:t>
      </w:r>
      <w:r w:rsidR="00AF03F5" w:rsidRPr="008D3E7B">
        <w:rPr>
          <w:rFonts w:ascii="Arial" w:hAnsi="Arial" w:cs="Arial"/>
        </w:rPr>
        <w:t>.</w:t>
      </w:r>
    </w:p>
    <w:p w14:paraId="14F7B5B1" w14:textId="77777777" w:rsidR="005D57DB" w:rsidRPr="005D57DB" w:rsidRDefault="005D57DB" w:rsidP="005D57DB">
      <w:pPr>
        <w:pStyle w:val="ListParagraph"/>
        <w:autoSpaceDE w:val="0"/>
        <w:autoSpaceDN w:val="0"/>
        <w:adjustRightInd w:val="0"/>
        <w:spacing w:before="120"/>
        <w:jc w:val="both"/>
        <w:rPr>
          <w:rFonts w:ascii="Arial" w:hAnsi="Arial" w:cs="Arial"/>
        </w:rPr>
      </w:pPr>
    </w:p>
    <w:p w14:paraId="094AAEC4" w14:textId="63D60F10" w:rsidR="00F132C3" w:rsidRPr="005D57DB" w:rsidRDefault="009E3889" w:rsidP="005D57DB">
      <w:pPr>
        <w:pStyle w:val="ListParagraph"/>
        <w:numPr>
          <w:ilvl w:val="0"/>
          <w:numId w:val="22"/>
        </w:numPr>
        <w:autoSpaceDE w:val="0"/>
        <w:autoSpaceDN w:val="0"/>
        <w:adjustRightInd w:val="0"/>
        <w:spacing w:before="120"/>
        <w:jc w:val="both"/>
        <w:rPr>
          <w:rFonts w:ascii="Arial" w:hAnsi="Arial" w:cs="Arial"/>
        </w:rPr>
      </w:pPr>
      <w:r>
        <w:rPr>
          <w:rFonts w:ascii="Arial" w:hAnsi="Arial" w:cs="Arial"/>
        </w:rPr>
        <w:t>Implemented</w:t>
      </w:r>
      <w:r w:rsidR="00C80A0D" w:rsidRPr="005D57DB">
        <w:rPr>
          <w:rFonts w:ascii="Arial" w:hAnsi="Arial" w:cs="Arial"/>
        </w:rPr>
        <w:t xml:space="preserve"> Equality and Diversity training </w:t>
      </w:r>
      <w:r w:rsidR="005D57DB">
        <w:rPr>
          <w:rFonts w:ascii="Arial" w:hAnsi="Arial" w:cs="Arial"/>
        </w:rPr>
        <w:t xml:space="preserve">as </w:t>
      </w:r>
      <w:r w:rsidR="00C80A0D" w:rsidRPr="005D57DB">
        <w:rPr>
          <w:rFonts w:ascii="Arial" w:hAnsi="Arial" w:cs="Arial"/>
        </w:rPr>
        <w:t>mandatory for all roles within the organisation.</w:t>
      </w:r>
    </w:p>
    <w:p w14:paraId="111F539F" w14:textId="77777777" w:rsidR="006B7F4D" w:rsidRPr="008B74FF" w:rsidRDefault="00AF03F5" w:rsidP="006B7F4D">
      <w:pPr>
        <w:autoSpaceDE w:val="0"/>
        <w:autoSpaceDN w:val="0"/>
        <w:adjustRightInd w:val="0"/>
        <w:spacing w:before="120"/>
        <w:jc w:val="both"/>
        <w:rPr>
          <w:rFonts w:ascii="Arial" w:hAnsi="Arial" w:cs="Arial"/>
        </w:rPr>
      </w:pPr>
      <w:r>
        <w:rPr>
          <w:rFonts w:ascii="Arial" w:hAnsi="Arial" w:cs="Arial"/>
        </w:rPr>
        <w:t xml:space="preserve">In addition, </w:t>
      </w:r>
      <w:r w:rsidR="00F575B9">
        <w:rPr>
          <w:rFonts w:ascii="Arial" w:hAnsi="Arial" w:cs="Arial"/>
        </w:rPr>
        <w:t>we continue to a</w:t>
      </w:r>
      <w:r w:rsidR="00F132C3">
        <w:rPr>
          <w:rFonts w:ascii="Arial" w:hAnsi="Arial" w:cs="Arial"/>
        </w:rPr>
        <w:t xml:space="preserve">ctively </w:t>
      </w:r>
      <w:r w:rsidR="00F575B9">
        <w:rPr>
          <w:rFonts w:ascii="Arial" w:hAnsi="Arial" w:cs="Arial"/>
        </w:rPr>
        <w:t>take</w:t>
      </w:r>
      <w:r w:rsidR="006B7F4D" w:rsidRPr="008B74FF">
        <w:rPr>
          <w:rFonts w:ascii="Arial" w:hAnsi="Arial" w:cs="Arial"/>
        </w:rPr>
        <w:t xml:space="preserve"> steps to effectively ensure we are an equal opportunities employer, by </w:t>
      </w:r>
    </w:p>
    <w:p w14:paraId="79D7B9FF" w14:textId="77777777" w:rsidR="006B7F4D" w:rsidRDefault="006B7F4D" w:rsidP="006B7F4D">
      <w:pPr>
        <w:pStyle w:val="ListParagraph"/>
        <w:numPr>
          <w:ilvl w:val="0"/>
          <w:numId w:val="21"/>
        </w:numPr>
        <w:autoSpaceDE w:val="0"/>
        <w:autoSpaceDN w:val="0"/>
        <w:adjustRightInd w:val="0"/>
        <w:spacing w:before="120"/>
        <w:jc w:val="both"/>
        <w:rPr>
          <w:rFonts w:ascii="Arial" w:hAnsi="Arial" w:cs="Arial"/>
        </w:rPr>
      </w:pPr>
      <w:r w:rsidRPr="008B74FF">
        <w:rPr>
          <w:rFonts w:ascii="Arial" w:hAnsi="Arial" w:cs="Arial"/>
        </w:rPr>
        <w:t>Distributing, and reporting to board level, on staff satisfaction through a survey, to gain staff feedback on areas including salaries and benefits that we offer.</w:t>
      </w:r>
    </w:p>
    <w:p w14:paraId="6E32B2A9" w14:textId="77777777" w:rsidR="009177F3" w:rsidRPr="008B74FF" w:rsidRDefault="009177F3" w:rsidP="009177F3">
      <w:pPr>
        <w:pStyle w:val="ListParagraph"/>
        <w:autoSpaceDE w:val="0"/>
        <w:autoSpaceDN w:val="0"/>
        <w:adjustRightInd w:val="0"/>
        <w:spacing w:before="120"/>
        <w:jc w:val="both"/>
        <w:rPr>
          <w:rFonts w:ascii="Arial" w:hAnsi="Arial" w:cs="Arial"/>
        </w:rPr>
      </w:pPr>
    </w:p>
    <w:p w14:paraId="64077787" w14:textId="73EFC498" w:rsidR="00F132C3" w:rsidRPr="00F132C3" w:rsidRDefault="006B7F4D" w:rsidP="00F132C3">
      <w:pPr>
        <w:pStyle w:val="ListParagraph"/>
        <w:numPr>
          <w:ilvl w:val="0"/>
          <w:numId w:val="21"/>
        </w:numPr>
        <w:autoSpaceDE w:val="0"/>
        <w:autoSpaceDN w:val="0"/>
        <w:adjustRightInd w:val="0"/>
        <w:spacing w:before="120"/>
        <w:jc w:val="both"/>
        <w:rPr>
          <w:rFonts w:ascii="Arial" w:hAnsi="Arial" w:cs="Arial"/>
        </w:rPr>
      </w:pPr>
      <w:r w:rsidRPr="008B74FF">
        <w:rPr>
          <w:rFonts w:ascii="Arial" w:hAnsi="Arial" w:cs="Arial"/>
        </w:rPr>
        <w:t xml:space="preserve">Ensuring that all employees have access to the same opportunities, such as training or job vacancies. </w:t>
      </w:r>
    </w:p>
    <w:p w14:paraId="0D8154AE" w14:textId="77777777" w:rsidR="006B7F4D" w:rsidRPr="00FA5A13" w:rsidRDefault="006B7F4D" w:rsidP="000E324C">
      <w:pPr>
        <w:autoSpaceDE w:val="0"/>
        <w:autoSpaceDN w:val="0"/>
        <w:adjustRightInd w:val="0"/>
        <w:spacing w:before="120"/>
        <w:rPr>
          <w:rFonts w:ascii="Arial" w:hAnsi="Arial" w:cs="Arial"/>
          <w:color w:val="000000"/>
        </w:rPr>
      </w:pPr>
      <w:r>
        <w:rPr>
          <w:rFonts w:ascii="Arial" w:hAnsi="Arial" w:cs="Arial"/>
          <w:color w:val="000000"/>
        </w:rPr>
        <w:t xml:space="preserve">We will </w:t>
      </w:r>
      <w:r w:rsidR="00AF03F5">
        <w:rPr>
          <w:rFonts w:ascii="Arial" w:hAnsi="Arial" w:cs="Arial"/>
          <w:color w:val="000000"/>
        </w:rPr>
        <w:t xml:space="preserve">also </w:t>
      </w:r>
      <w:r>
        <w:rPr>
          <w:rFonts w:ascii="Arial" w:hAnsi="Arial" w:cs="Arial"/>
          <w:color w:val="000000"/>
        </w:rPr>
        <w:t>continue to:</w:t>
      </w:r>
    </w:p>
    <w:p w14:paraId="359A5A7F" w14:textId="77777777" w:rsidR="006B7F4D" w:rsidRPr="00FA5A13" w:rsidRDefault="006B7F4D" w:rsidP="006B7F4D">
      <w:pPr>
        <w:numPr>
          <w:ilvl w:val="0"/>
          <w:numId w:val="14"/>
        </w:numPr>
        <w:autoSpaceDE w:val="0"/>
        <w:autoSpaceDN w:val="0"/>
        <w:adjustRightInd w:val="0"/>
        <w:spacing w:before="120"/>
        <w:jc w:val="both"/>
        <w:rPr>
          <w:rFonts w:ascii="Arial" w:hAnsi="Arial" w:cs="Arial"/>
          <w:color w:val="000000"/>
        </w:rPr>
      </w:pPr>
      <w:r>
        <w:rPr>
          <w:rFonts w:ascii="Arial" w:hAnsi="Arial" w:cs="Arial"/>
          <w:color w:val="000000"/>
        </w:rPr>
        <w:t>E</w:t>
      </w:r>
      <w:r w:rsidRPr="00FA5A13">
        <w:rPr>
          <w:rFonts w:ascii="Arial" w:hAnsi="Arial" w:cs="Arial"/>
          <w:color w:val="000000"/>
        </w:rPr>
        <w:t xml:space="preserve">valuate job roles and pay grades as necessary to ensure </w:t>
      </w:r>
      <w:r>
        <w:rPr>
          <w:rFonts w:ascii="Arial" w:hAnsi="Arial" w:cs="Arial"/>
          <w:color w:val="000000"/>
        </w:rPr>
        <w:t xml:space="preserve">consistency and </w:t>
      </w:r>
      <w:r w:rsidRPr="00FA5A13">
        <w:rPr>
          <w:rFonts w:ascii="Arial" w:hAnsi="Arial" w:cs="Arial"/>
          <w:color w:val="000000"/>
        </w:rPr>
        <w:t>fairness</w:t>
      </w:r>
    </w:p>
    <w:p w14:paraId="01CE3D31" w14:textId="45182566" w:rsidR="008179F4" w:rsidRPr="008179F4" w:rsidRDefault="006B7F4D" w:rsidP="008179F4">
      <w:pPr>
        <w:numPr>
          <w:ilvl w:val="0"/>
          <w:numId w:val="14"/>
        </w:numPr>
        <w:autoSpaceDE w:val="0"/>
        <w:autoSpaceDN w:val="0"/>
        <w:adjustRightInd w:val="0"/>
        <w:spacing w:before="120"/>
        <w:jc w:val="both"/>
        <w:rPr>
          <w:rFonts w:ascii="Arial" w:hAnsi="Arial" w:cs="Arial"/>
        </w:rPr>
      </w:pPr>
      <w:r w:rsidRPr="008B74FF">
        <w:rPr>
          <w:rFonts w:ascii="Arial" w:hAnsi="Arial" w:cs="Arial"/>
        </w:rPr>
        <w:t>Evaluate our recruitment processes and procedures to ensure that they remain fair and equitable to all applicants regardless of their specific characteristics.</w:t>
      </w:r>
    </w:p>
    <w:p w14:paraId="73804BD2" w14:textId="12B582DA" w:rsidR="006B7F4D" w:rsidRPr="00FA5A13" w:rsidRDefault="006B7F4D" w:rsidP="006B7F4D">
      <w:pPr>
        <w:autoSpaceDE w:val="0"/>
        <w:autoSpaceDN w:val="0"/>
        <w:adjustRightInd w:val="0"/>
        <w:spacing w:before="120"/>
        <w:jc w:val="both"/>
        <w:rPr>
          <w:rFonts w:ascii="Arial" w:hAnsi="Arial" w:cs="Arial"/>
          <w:color w:val="000000"/>
        </w:rPr>
      </w:pPr>
      <w:r w:rsidRPr="00FA5A13">
        <w:rPr>
          <w:rFonts w:ascii="Arial" w:hAnsi="Arial" w:cs="Arial"/>
          <w:color w:val="000000"/>
        </w:rPr>
        <w:t>As an equal opportunities employer, we believe in appointing the best candidate into the role, regardless of their gender or other factors covered by the Equality Act</w:t>
      </w:r>
      <w:r w:rsidR="007746C7">
        <w:rPr>
          <w:rFonts w:ascii="Arial" w:hAnsi="Arial" w:cs="Arial"/>
          <w:color w:val="000000"/>
        </w:rPr>
        <w:t>, 2010</w:t>
      </w:r>
      <w:r w:rsidRPr="00FA5A13">
        <w:rPr>
          <w:rFonts w:ascii="Arial" w:hAnsi="Arial" w:cs="Arial"/>
          <w:color w:val="000000"/>
        </w:rPr>
        <w:t>.</w:t>
      </w:r>
    </w:p>
    <w:p w14:paraId="1BE99B3F" w14:textId="77777777" w:rsidR="006B7F4D" w:rsidRPr="00BE27E4" w:rsidRDefault="006B7F4D" w:rsidP="006B7F4D">
      <w:pPr>
        <w:autoSpaceDE w:val="0"/>
        <w:autoSpaceDN w:val="0"/>
        <w:adjustRightInd w:val="0"/>
        <w:spacing w:before="120"/>
        <w:jc w:val="both"/>
        <w:rPr>
          <w:rFonts w:ascii="Arial" w:hAnsi="Arial" w:cs="Arial"/>
          <w:b/>
          <w:bCs/>
          <w:sz w:val="12"/>
          <w:szCs w:val="12"/>
        </w:rPr>
      </w:pPr>
    </w:p>
    <w:p w14:paraId="6BF57F59" w14:textId="77777777" w:rsidR="006B7F4D" w:rsidRPr="00FA5A13" w:rsidRDefault="006B7F4D" w:rsidP="006B7F4D">
      <w:pPr>
        <w:autoSpaceDE w:val="0"/>
        <w:autoSpaceDN w:val="0"/>
        <w:adjustRightInd w:val="0"/>
        <w:spacing w:before="120"/>
        <w:jc w:val="both"/>
        <w:rPr>
          <w:rFonts w:ascii="Arial" w:hAnsi="Arial" w:cs="Arial"/>
          <w:b/>
          <w:bCs/>
        </w:rPr>
      </w:pPr>
      <w:r w:rsidRPr="00FA5A13">
        <w:rPr>
          <w:rFonts w:ascii="Arial" w:hAnsi="Arial" w:cs="Arial"/>
          <w:b/>
          <w:bCs/>
        </w:rPr>
        <w:t xml:space="preserve">Mandatory Statement </w:t>
      </w:r>
    </w:p>
    <w:p w14:paraId="442373C4" w14:textId="77777777" w:rsidR="006B7F4D" w:rsidRPr="00FA5A13" w:rsidRDefault="006B7F4D" w:rsidP="006B7F4D">
      <w:pPr>
        <w:autoSpaceDE w:val="0"/>
        <w:autoSpaceDN w:val="0"/>
        <w:adjustRightInd w:val="0"/>
        <w:spacing w:before="120"/>
        <w:jc w:val="both"/>
        <w:rPr>
          <w:rFonts w:ascii="Arial" w:hAnsi="Arial" w:cs="Arial"/>
        </w:rPr>
      </w:pPr>
      <w:r w:rsidRPr="00FA5A13">
        <w:rPr>
          <w:rFonts w:ascii="Arial" w:hAnsi="Arial" w:cs="Arial"/>
          <w:color w:val="000000"/>
        </w:rPr>
        <w:t xml:space="preserve">I declare that we have used all reasonable endeavours to ensure that the data contained in this report is accurate. </w:t>
      </w:r>
    </w:p>
    <w:p w14:paraId="1F1CF88D" w14:textId="77777777" w:rsidR="006B7F4D" w:rsidRPr="00FA5A13" w:rsidRDefault="006B7F4D" w:rsidP="006B7F4D">
      <w:pPr>
        <w:autoSpaceDE w:val="0"/>
        <w:autoSpaceDN w:val="0"/>
        <w:adjustRightInd w:val="0"/>
        <w:spacing w:before="120"/>
        <w:jc w:val="both"/>
        <w:rPr>
          <w:rFonts w:ascii="Arial" w:hAnsi="Arial" w:cs="Arial"/>
        </w:rPr>
      </w:pPr>
    </w:p>
    <w:p w14:paraId="3578049A" w14:textId="77777777" w:rsidR="006B7F4D" w:rsidRPr="00FA5A13" w:rsidRDefault="00F575B9" w:rsidP="006B7F4D">
      <w:pPr>
        <w:spacing w:before="120"/>
        <w:jc w:val="both"/>
        <w:rPr>
          <w:rFonts w:ascii="Arial" w:hAnsi="Arial" w:cs="Arial"/>
        </w:rPr>
      </w:pPr>
      <w:r>
        <w:rPr>
          <w:rFonts w:ascii="Arial" w:hAnsi="Arial" w:cs="Arial"/>
          <w:b/>
          <w:bCs/>
        </w:rPr>
        <w:t>Mark Hanna</w:t>
      </w:r>
    </w:p>
    <w:p w14:paraId="58555771" w14:textId="77777777" w:rsidR="006B7F4D" w:rsidRPr="00FA5A13" w:rsidRDefault="006B7F4D" w:rsidP="006B7F4D">
      <w:pPr>
        <w:autoSpaceDE w:val="0"/>
        <w:autoSpaceDN w:val="0"/>
        <w:adjustRightInd w:val="0"/>
        <w:spacing w:before="120"/>
        <w:jc w:val="both"/>
        <w:rPr>
          <w:rFonts w:ascii="Arial" w:hAnsi="Arial" w:cs="Arial"/>
          <w:color w:val="000000"/>
        </w:rPr>
      </w:pPr>
      <w:r w:rsidRPr="00FA5A13">
        <w:rPr>
          <w:rFonts w:ascii="Arial" w:hAnsi="Arial" w:cs="Arial"/>
          <w:color w:val="000000"/>
        </w:rPr>
        <w:t>Chief Executive Officer</w:t>
      </w:r>
    </w:p>
    <w:p w14:paraId="5D087F89" w14:textId="77777777" w:rsidR="00B34CF6" w:rsidRPr="006B7F4D" w:rsidRDefault="00B34CF6" w:rsidP="006B7F4D"/>
    <w:sectPr w:rsidR="00B34CF6" w:rsidRPr="006B7F4D" w:rsidSect="00A37CBB">
      <w:headerReference w:type="default" r:id="rId11"/>
      <w:footerReference w:type="default" r:id="rId12"/>
      <w:pgSz w:w="11906" w:h="16838"/>
      <w:pgMar w:top="1440" w:right="99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2B0F4" w14:textId="77777777" w:rsidR="00A37CBB" w:rsidRDefault="00A37CBB">
      <w:r>
        <w:separator/>
      </w:r>
    </w:p>
  </w:endnote>
  <w:endnote w:type="continuationSeparator" w:id="0">
    <w:p w14:paraId="41C89F6B" w14:textId="77777777" w:rsidR="00A37CBB" w:rsidRDefault="00A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9389C" w14:textId="77777777" w:rsidR="00FA2AD2" w:rsidRPr="008D0E1C" w:rsidRDefault="008D0E1C" w:rsidP="008D0E1C">
    <w:pPr>
      <w:pStyle w:val="Footer"/>
      <w:jc w:val="right"/>
      <w:rPr>
        <w:rFonts w:ascii="Arial" w:hAnsi="Arial" w:cs="Arial"/>
      </w:rPr>
    </w:pPr>
    <w:r w:rsidRPr="008D0E1C">
      <w:rPr>
        <w:rFonts w:ascii="Arial" w:hAnsi="Arial" w:cs="Arial"/>
      </w:rPr>
      <w:t xml:space="preserve">Page </w:t>
    </w:r>
    <w:r w:rsidRPr="008D0E1C">
      <w:rPr>
        <w:rFonts w:ascii="Arial" w:hAnsi="Arial" w:cs="Arial"/>
        <w:b/>
        <w:bCs/>
      </w:rPr>
      <w:fldChar w:fldCharType="begin"/>
    </w:r>
    <w:r w:rsidRPr="008D0E1C">
      <w:rPr>
        <w:rFonts w:ascii="Arial" w:hAnsi="Arial" w:cs="Arial"/>
        <w:b/>
        <w:bCs/>
      </w:rPr>
      <w:instrText xml:space="preserve"> PAGE  \* Arabic  \* MERGEFORMAT </w:instrText>
    </w:r>
    <w:r w:rsidRPr="008D0E1C">
      <w:rPr>
        <w:rFonts w:ascii="Arial" w:hAnsi="Arial" w:cs="Arial"/>
        <w:b/>
        <w:bCs/>
      </w:rPr>
      <w:fldChar w:fldCharType="separate"/>
    </w:r>
    <w:r w:rsidR="004511F0">
      <w:rPr>
        <w:rFonts w:ascii="Arial" w:hAnsi="Arial" w:cs="Arial"/>
        <w:b/>
        <w:bCs/>
        <w:noProof/>
      </w:rPr>
      <w:t>3</w:t>
    </w:r>
    <w:r w:rsidRPr="008D0E1C">
      <w:rPr>
        <w:rFonts w:ascii="Arial" w:hAnsi="Arial" w:cs="Arial"/>
        <w:b/>
        <w:bCs/>
      </w:rPr>
      <w:fldChar w:fldCharType="end"/>
    </w:r>
    <w:r w:rsidRPr="008D0E1C">
      <w:rPr>
        <w:rFonts w:ascii="Arial" w:hAnsi="Arial" w:cs="Arial"/>
      </w:rPr>
      <w:t xml:space="preserve"> of </w:t>
    </w:r>
    <w:r w:rsidRPr="008D0E1C">
      <w:rPr>
        <w:rFonts w:ascii="Arial" w:hAnsi="Arial" w:cs="Arial"/>
        <w:b/>
        <w:bCs/>
      </w:rPr>
      <w:fldChar w:fldCharType="begin"/>
    </w:r>
    <w:r w:rsidRPr="008D0E1C">
      <w:rPr>
        <w:rFonts w:ascii="Arial" w:hAnsi="Arial" w:cs="Arial"/>
        <w:b/>
        <w:bCs/>
      </w:rPr>
      <w:instrText xml:space="preserve"> NUMPAGES  \* Arabic  \* MERGEFORMAT </w:instrText>
    </w:r>
    <w:r w:rsidRPr="008D0E1C">
      <w:rPr>
        <w:rFonts w:ascii="Arial" w:hAnsi="Arial" w:cs="Arial"/>
        <w:b/>
        <w:bCs/>
      </w:rPr>
      <w:fldChar w:fldCharType="separate"/>
    </w:r>
    <w:r w:rsidR="004511F0">
      <w:rPr>
        <w:rFonts w:ascii="Arial" w:hAnsi="Arial" w:cs="Arial"/>
        <w:b/>
        <w:bCs/>
        <w:noProof/>
      </w:rPr>
      <w:t>3</w:t>
    </w:r>
    <w:r w:rsidRPr="008D0E1C">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6C9E0" w14:textId="77777777" w:rsidR="00A37CBB" w:rsidRDefault="00A37CBB">
      <w:r>
        <w:separator/>
      </w:r>
    </w:p>
  </w:footnote>
  <w:footnote w:type="continuationSeparator" w:id="0">
    <w:p w14:paraId="76FF6375" w14:textId="77777777" w:rsidR="00A37CBB" w:rsidRDefault="00A3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C896B" w14:textId="77777777" w:rsidR="00D72A65" w:rsidRDefault="00D72A65" w:rsidP="00D72A65">
    <w:pPr>
      <w:ind w:right="-334"/>
      <w:rPr>
        <w:rFonts w:ascii="Arial" w:hAnsi="Arial" w:cs="Arial"/>
        <w:sz w:val="28"/>
        <w:szCs w:val="28"/>
      </w:rPr>
    </w:pPr>
    <w:r>
      <w:rPr>
        <w:rFonts w:ascii="Arial" w:hAnsi="Arial" w:cs="Arial"/>
        <w:sz w:val="28"/>
        <w:szCs w:val="28"/>
      </w:rPr>
      <w:t xml:space="preserve">AGE UK HERTFORDSHIRE </w:t>
    </w:r>
  </w:p>
  <w:p w14:paraId="36709E45" w14:textId="77777777" w:rsidR="00D72A65" w:rsidRPr="00FB686B" w:rsidRDefault="00D72A65" w:rsidP="00D72A65">
    <w:pPr>
      <w:ind w:right="-334"/>
      <w:rPr>
        <w:rFonts w:ascii="Arial" w:hAnsi="Arial" w:cs="Arial"/>
        <w:sz w:val="28"/>
        <w:szCs w:val="28"/>
      </w:rPr>
    </w:pPr>
    <w:r>
      <w:rPr>
        <w:rFonts w:ascii="Arial" w:hAnsi="Arial" w:cs="Arial"/>
        <w:sz w:val="28"/>
        <w:szCs w:val="28"/>
      </w:rPr>
      <w:t>NARRATIVE REPORT FOR GENDER PAY GAP</w:t>
    </w:r>
  </w:p>
  <w:p w14:paraId="19749316" w14:textId="77777777" w:rsidR="008762AF" w:rsidRPr="00FB686B" w:rsidRDefault="008762AF" w:rsidP="00642145">
    <w:pPr>
      <w:ind w:right="-334"/>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F6882"/>
    <w:multiLevelType w:val="hybridMultilevel"/>
    <w:tmpl w:val="7D6868CE"/>
    <w:lvl w:ilvl="0" w:tplc="D75ECE4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4E17E7"/>
    <w:multiLevelType w:val="hybridMultilevel"/>
    <w:tmpl w:val="A5B6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6B6D"/>
    <w:multiLevelType w:val="hybridMultilevel"/>
    <w:tmpl w:val="3FDC5248"/>
    <w:lvl w:ilvl="0" w:tplc="2E34DC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7C76"/>
    <w:multiLevelType w:val="hybridMultilevel"/>
    <w:tmpl w:val="E092C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E772C"/>
    <w:multiLevelType w:val="hybridMultilevel"/>
    <w:tmpl w:val="68CCD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477F01"/>
    <w:multiLevelType w:val="hybridMultilevel"/>
    <w:tmpl w:val="4E629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04712"/>
    <w:multiLevelType w:val="hybridMultilevel"/>
    <w:tmpl w:val="A1F0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B1B1E"/>
    <w:multiLevelType w:val="hybridMultilevel"/>
    <w:tmpl w:val="ED3C9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76C9B"/>
    <w:multiLevelType w:val="hybridMultilevel"/>
    <w:tmpl w:val="EA8E0A40"/>
    <w:lvl w:ilvl="0" w:tplc="90FC8190">
      <w:start w:val="1"/>
      <w:numFmt w:val="bullet"/>
      <w:pStyle w:val="Bullet"/>
      <w:lvlText w:val=""/>
      <w:lvlJc w:val="left"/>
      <w:pPr>
        <w:ind w:left="360" w:hanging="360"/>
      </w:pPr>
      <w:rPr>
        <w:rFonts w:ascii="Symbol" w:hAnsi="Symbo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25C3D27"/>
    <w:multiLevelType w:val="hybridMultilevel"/>
    <w:tmpl w:val="9272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F7918"/>
    <w:multiLevelType w:val="hybridMultilevel"/>
    <w:tmpl w:val="C48CDE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E55A7A"/>
    <w:multiLevelType w:val="hybridMultilevel"/>
    <w:tmpl w:val="6510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15C81"/>
    <w:multiLevelType w:val="hybridMultilevel"/>
    <w:tmpl w:val="27C65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60AE6"/>
    <w:multiLevelType w:val="hybridMultilevel"/>
    <w:tmpl w:val="FBA0E74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E71B6"/>
    <w:multiLevelType w:val="hybridMultilevel"/>
    <w:tmpl w:val="4CEC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D424C"/>
    <w:multiLevelType w:val="hybridMultilevel"/>
    <w:tmpl w:val="D1788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34492"/>
    <w:multiLevelType w:val="hybridMultilevel"/>
    <w:tmpl w:val="A5B6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C1D96"/>
    <w:multiLevelType w:val="hybridMultilevel"/>
    <w:tmpl w:val="8F1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22EC1"/>
    <w:multiLevelType w:val="hybridMultilevel"/>
    <w:tmpl w:val="E2F4654C"/>
    <w:lvl w:ilvl="0" w:tplc="F996826C">
      <w:start w:val="4"/>
      <w:numFmt w:val="bullet"/>
      <w:lvlText w:val="-"/>
      <w:lvlJc w:val="left"/>
      <w:pPr>
        <w:ind w:left="12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755F1560"/>
    <w:multiLevelType w:val="hybridMultilevel"/>
    <w:tmpl w:val="0FB05A4E"/>
    <w:lvl w:ilvl="0" w:tplc="F996826C">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78D60241"/>
    <w:multiLevelType w:val="hybridMultilevel"/>
    <w:tmpl w:val="4E207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BE0D19"/>
    <w:multiLevelType w:val="hybridMultilevel"/>
    <w:tmpl w:val="9DF422FC"/>
    <w:lvl w:ilvl="0" w:tplc="DEA63D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70CD1"/>
    <w:multiLevelType w:val="hybridMultilevel"/>
    <w:tmpl w:val="AD2AD34C"/>
    <w:lvl w:ilvl="0" w:tplc="F996826C">
      <w:start w:val="4"/>
      <w:numFmt w:val="bullet"/>
      <w:lvlText w:val="-"/>
      <w:lvlJc w:val="left"/>
      <w:pPr>
        <w:ind w:left="12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335454500">
    <w:abstractNumId w:val="16"/>
  </w:num>
  <w:num w:numId="2" w16cid:durableId="1572616608">
    <w:abstractNumId w:val="11"/>
  </w:num>
  <w:num w:numId="3" w16cid:durableId="1525358545">
    <w:abstractNumId w:val="15"/>
  </w:num>
  <w:num w:numId="4" w16cid:durableId="1467357981">
    <w:abstractNumId w:val="1"/>
  </w:num>
  <w:num w:numId="5" w16cid:durableId="1583031714">
    <w:abstractNumId w:val="0"/>
  </w:num>
  <w:num w:numId="6" w16cid:durableId="2084596950">
    <w:abstractNumId w:val="21"/>
  </w:num>
  <w:num w:numId="7" w16cid:durableId="1189611036">
    <w:abstractNumId w:val="2"/>
  </w:num>
  <w:num w:numId="8" w16cid:durableId="80226803">
    <w:abstractNumId w:val="8"/>
  </w:num>
  <w:num w:numId="9" w16cid:durableId="996299958">
    <w:abstractNumId w:val="10"/>
  </w:num>
  <w:num w:numId="10" w16cid:durableId="1640067834">
    <w:abstractNumId w:val="7"/>
  </w:num>
  <w:num w:numId="11" w16cid:durableId="906650321">
    <w:abstractNumId w:val="12"/>
  </w:num>
  <w:num w:numId="12" w16cid:durableId="1397897321">
    <w:abstractNumId w:val="14"/>
  </w:num>
  <w:num w:numId="13" w16cid:durableId="1143038994">
    <w:abstractNumId w:val="5"/>
  </w:num>
  <w:num w:numId="14" w16cid:durableId="1407343293">
    <w:abstractNumId w:val="3"/>
  </w:num>
  <w:num w:numId="15" w16cid:durableId="1160384075">
    <w:abstractNumId w:val="19"/>
  </w:num>
  <w:num w:numId="16" w16cid:durableId="1513372918">
    <w:abstractNumId w:val="18"/>
  </w:num>
  <w:num w:numId="17" w16cid:durableId="2044205699">
    <w:abstractNumId w:val="22"/>
  </w:num>
  <w:num w:numId="18" w16cid:durableId="320695384">
    <w:abstractNumId w:val="13"/>
  </w:num>
  <w:num w:numId="19" w16cid:durableId="484516548">
    <w:abstractNumId w:val="20"/>
  </w:num>
  <w:num w:numId="20" w16cid:durableId="520439905">
    <w:abstractNumId w:val="4"/>
  </w:num>
  <w:num w:numId="21" w16cid:durableId="149562694">
    <w:abstractNumId w:val="6"/>
  </w:num>
  <w:num w:numId="22" w16cid:durableId="722565481">
    <w:abstractNumId w:val="17"/>
  </w:num>
  <w:num w:numId="23" w16cid:durableId="656768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3A"/>
    <w:rsid w:val="00000D39"/>
    <w:rsid w:val="0000219B"/>
    <w:rsid w:val="00003058"/>
    <w:rsid w:val="00005058"/>
    <w:rsid w:val="0001012D"/>
    <w:rsid w:val="000114DF"/>
    <w:rsid w:val="000116CA"/>
    <w:rsid w:val="000270B1"/>
    <w:rsid w:val="00027496"/>
    <w:rsid w:val="00043A84"/>
    <w:rsid w:val="000502A7"/>
    <w:rsid w:val="000524E9"/>
    <w:rsid w:val="00053F9D"/>
    <w:rsid w:val="00056027"/>
    <w:rsid w:val="0005730F"/>
    <w:rsid w:val="00060732"/>
    <w:rsid w:val="00066469"/>
    <w:rsid w:val="00073022"/>
    <w:rsid w:val="000771CB"/>
    <w:rsid w:val="000921D4"/>
    <w:rsid w:val="00094FD5"/>
    <w:rsid w:val="0009650F"/>
    <w:rsid w:val="0009657C"/>
    <w:rsid w:val="00097926"/>
    <w:rsid w:val="000A078E"/>
    <w:rsid w:val="000B3830"/>
    <w:rsid w:val="000B559E"/>
    <w:rsid w:val="000C4FF7"/>
    <w:rsid w:val="000E324C"/>
    <w:rsid w:val="000E5108"/>
    <w:rsid w:val="000E7AFD"/>
    <w:rsid w:val="000F0071"/>
    <w:rsid w:val="000F3B10"/>
    <w:rsid w:val="000F57F8"/>
    <w:rsid w:val="001003C9"/>
    <w:rsid w:val="0011144C"/>
    <w:rsid w:val="00111573"/>
    <w:rsid w:val="0011279A"/>
    <w:rsid w:val="001139A4"/>
    <w:rsid w:val="0013371A"/>
    <w:rsid w:val="00135476"/>
    <w:rsid w:val="00145A64"/>
    <w:rsid w:val="0015386F"/>
    <w:rsid w:val="00186A8E"/>
    <w:rsid w:val="00194920"/>
    <w:rsid w:val="00195CC8"/>
    <w:rsid w:val="001A2DB8"/>
    <w:rsid w:val="001B5F4C"/>
    <w:rsid w:val="001C48E2"/>
    <w:rsid w:val="001D0124"/>
    <w:rsid w:val="001D19C9"/>
    <w:rsid w:val="001F0D11"/>
    <w:rsid w:val="002017E4"/>
    <w:rsid w:val="0021032F"/>
    <w:rsid w:val="00232146"/>
    <w:rsid w:val="00240C14"/>
    <w:rsid w:val="00245300"/>
    <w:rsid w:val="0024539C"/>
    <w:rsid w:val="00247EFC"/>
    <w:rsid w:val="00266F56"/>
    <w:rsid w:val="002762FD"/>
    <w:rsid w:val="00282E81"/>
    <w:rsid w:val="00286388"/>
    <w:rsid w:val="002874AE"/>
    <w:rsid w:val="0029172A"/>
    <w:rsid w:val="00295625"/>
    <w:rsid w:val="002A12BF"/>
    <w:rsid w:val="002A540D"/>
    <w:rsid w:val="002B00EE"/>
    <w:rsid w:val="002C089D"/>
    <w:rsid w:val="002C300B"/>
    <w:rsid w:val="002C3EA5"/>
    <w:rsid w:val="002D1C0E"/>
    <w:rsid w:val="002D4E9B"/>
    <w:rsid w:val="002D6536"/>
    <w:rsid w:val="002E3F00"/>
    <w:rsid w:val="002E491F"/>
    <w:rsid w:val="002E5FDF"/>
    <w:rsid w:val="002F4D29"/>
    <w:rsid w:val="003117C5"/>
    <w:rsid w:val="003139E1"/>
    <w:rsid w:val="003143B5"/>
    <w:rsid w:val="00320633"/>
    <w:rsid w:val="003210A9"/>
    <w:rsid w:val="00321FAD"/>
    <w:rsid w:val="00327913"/>
    <w:rsid w:val="003324BB"/>
    <w:rsid w:val="003335FF"/>
    <w:rsid w:val="00333959"/>
    <w:rsid w:val="0034546B"/>
    <w:rsid w:val="00352231"/>
    <w:rsid w:val="0036043F"/>
    <w:rsid w:val="00365725"/>
    <w:rsid w:val="003778FF"/>
    <w:rsid w:val="00377ECF"/>
    <w:rsid w:val="0038134C"/>
    <w:rsid w:val="00384CAB"/>
    <w:rsid w:val="003879D0"/>
    <w:rsid w:val="003A6DEE"/>
    <w:rsid w:val="003E0D1F"/>
    <w:rsid w:val="003F6208"/>
    <w:rsid w:val="00404BFD"/>
    <w:rsid w:val="004050C7"/>
    <w:rsid w:val="00407C3B"/>
    <w:rsid w:val="00427BD7"/>
    <w:rsid w:val="004312D7"/>
    <w:rsid w:val="004367C3"/>
    <w:rsid w:val="00442986"/>
    <w:rsid w:val="00444CEA"/>
    <w:rsid w:val="00444D0A"/>
    <w:rsid w:val="004511F0"/>
    <w:rsid w:val="00451619"/>
    <w:rsid w:val="00455939"/>
    <w:rsid w:val="00463F2F"/>
    <w:rsid w:val="00492CF5"/>
    <w:rsid w:val="00494797"/>
    <w:rsid w:val="00496EDA"/>
    <w:rsid w:val="004A0B08"/>
    <w:rsid w:val="004A1DCC"/>
    <w:rsid w:val="004A464A"/>
    <w:rsid w:val="004A4C8E"/>
    <w:rsid w:val="004A6A85"/>
    <w:rsid w:val="004B3DB7"/>
    <w:rsid w:val="004C2C91"/>
    <w:rsid w:val="004C41AA"/>
    <w:rsid w:val="004E7605"/>
    <w:rsid w:val="0050551B"/>
    <w:rsid w:val="0051423F"/>
    <w:rsid w:val="005258A2"/>
    <w:rsid w:val="005325B3"/>
    <w:rsid w:val="0053443B"/>
    <w:rsid w:val="00535B88"/>
    <w:rsid w:val="005372CD"/>
    <w:rsid w:val="005460E2"/>
    <w:rsid w:val="005527F8"/>
    <w:rsid w:val="00567B01"/>
    <w:rsid w:val="00567EFD"/>
    <w:rsid w:val="0058206E"/>
    <w:rsid w:val="005820B8"/>
    <w:rsid w:val="00590A5A"/>
    <w:rsid w:val="00591830"/>
    <w:rsid w:val="005956E7"/>
    <w:rsid w:val="0059726C"/>
    <w:rsid w:val="005A006D"/>
    <w:rsid w:val="005A1F88"/>
    <w:rsid w:val="005A206B"/>
    <w:rsid w:val="005A53B3"/>
    <w:rsid w:val="005A59BB"/>
    <w:rsid w:val="005A7183"/>
    <w:rsid w:val="005B2BEA"/>
    <w:rsid w:val="005B47E0"/>
    <w:rsid w:val="005B5BF0"/>
    <w:rsid w:val="005C2FBE"/>
    <w:rsid w:val="005C66F8"/>
    <w:rsid w:val="005D57DB"/>
    <w:rsid w:val="005E15ED"/>
    <w:rsid w:val="005E7F49"/>
    <w:rsid w:val="0060343C"/>
    <w:rsid w:val="0060687B"/>
    <w:rsid w:val="00621285"/>
    <w:rsid w:val="00621BAC"/>
    <w:rsid w:val="00625FB0"/>
    <w:rsid w:val="0062655F"/>
    <w:rsid w:val="00642145"/>
    <w:rsid w:val="006525B6"/>
    <w:rsid w:val="006653EC"/>
    <w:rsid w:val="006666F2"/>
    <w:rsid w:val="006676E0"/>
    <w:rsid w:val="00674071"/>
    <w:rsid w:val="00676FBA"/>
    <w:rsid w:val="00683279"/>
    <w:rsid w:val="006931F4"/>
    <w:rsid w:val="0069356A"/>
    <w:rsid w:val="006946B1"/>
    <w:rsid w:val="006A077F"/>
    <w:rsid w:val="006A31CD"/>
    <w:rsid w:val="006A3B99"/>
    <w:rsid w:val="006A66DE"/>
    <w:rsid w:val="006A69AE"/>
    <w:rsid w:val="006A72DD"/>
    <w:rsid w:val="006B0291"/>
    <w:rsid w:val="006B29D9"/>
    <w:rsid w:val="006B3B63"/>
    <w:rsid w:val="006B5F71"/>
    <w:rsid w:val="006B7F4D"/>
    <w:rsid w:val="006C040A"/>
    <w:rsid w:val="006C2F44"/>
    <w:rsid w:val="006C3329"/>
    <w:rsid w:val="006C79D5"/>
    <w:rsid w:val="006D2659"/>
    <w:rsid w:val="006D6934"/>
    <w:rsid w:val="006E33BD"/>
    <w:rsid w:val="007143AB"/>
    <w:rsid w:val="00714B1E"/>
    <w:rsid w:val="00727420"/>
    <w:rsid w:val="007308D3"/>
    <w:rsid w:val="00737187"/>
    <w:rsid w:val="007469C0"/>
    <w:rsid w:val="00761CE1"/>
    <w:rsid w:val="0076289F"/>
    <w:rsid w:val="007746C7"/>
    <w:rsid w:val="00784AEF"/>
    <w:rsid w:val="0079018B"/>
    <w:rsid w:val="0079301E"/>
    <w:rsid w:val="00793EC2"/>
    <w:rsid w:val="00796995"/>
    <w:rsid w:val="007A55A9"/>
    <w:rsid w:val="007C5760"/>
    <w:rsid w:val="007C724E"/>
    <w:rsid w:val="007D4009"/>
    <w:rsid w:val="007D58A2"/>
    <w:rsid w:val="007E4193"/>
    <w:rsid w:val="007E48A7"/>
    <w:rsid w:val="007E7595"/>
    <w:rsid w:val="007F0762"/>
    <w:rsid w:val="007F15F1"/>
    <w:rsid w:val="007F4ADB"/>
    <w:rsid w:val="007F5BDB"/>
    <w:rsid w:val="007F7B91"/>
    <w:rsid w:val="00807D4E"/>
    <w:rsid w:val="00814B99"/>
    <w:rsid w:val="008179F4"/>
    <w:rsid w:val="00830555"/>
    <w:rsid w:val="008338D5"/>
    <w:rsid w:val="00837F02"/>
    <w:rsid w:val="00872992"/>
    <w:rsid w:val="00874BC5"/>
    <w:rsid w:val="008762AF"/>
    <w:rsid w:val="00881888"/>
    <w:rsid w:val="00882615"/>
    <w:rsid w:val="00884209"/>
    <w:rsid w:val="00893F36"/>
    <w:rsid w:val="00894C56"/>
    <w:rsid w:val="0089680C"/>
    <w:rsid w:val="008979FF"/>
    <w:rsid w:val="008A05EB"/>
    <w:rsid w:val="008B76EE"/>
    <w:rsid w:val="008C5CEE"/>
    <w:rsid w:val="008D0E1C"/>
    <w:rsid w:val="008D3E7B"/>
    <w:rsid w:val="008E3AE2"/>
    <w:rsid w:val="008F3942"/>
    <w:rsid w:val="00903986"/>
    <w:rsid w:val="00914BAF"/>
    <w:rsid w:val="00915054"/>
    <w:rsid w:val="009177F3"/>
    <w:rsid w:val="00931B1C"/>
    <w:rsid w:val="009335AF"/>
    <w:rsid w:val="00935036"/>
    <w:rsid w:val="00937624"/>
    <w:rsid w:val="00954AE5"/>
    <w:rsid w:val="00955AB7"/>
    <w:rsid w:val="00986220"/>
    <w:rsid w:val="00992A06"/>
    <w:rsid w:val="009B00F6"/>
    <w:rsid w:val="009B6D06"/>
    <w:rsid w:val="009C3A34"/>
    <w:rsid w:val="009C5698"/>
    <w:rsid w:val="009D35AC"/>
    <w:rsid w:val="009E264A"/>
    <w:rsid w:val="009E3889"/>
    <w:rsid w:val="009E3FF7"/>
    <w:rsid w:val="009E53C9"/>
    <w:rsid w:val="00A05D1F"/>
    <w:rsid w:val="00A079FB"/>
    <w:rsid w:val="00A1468B"/>
    <w:rsid w:val="00A16208"/>
    <w:rsid w:val="00A168F7"/>
    <w:rsid w:val="00A25E48"/>
    <w:rsid w:val="00A32A4F"/>
    <w:rsid w:val="00A37CBB"/>
    <w:rsid w:val="00A40A0C"/>
    <w:rsid w:val="00A41437"/>
    <w:rsid w:val="00A42BAA"/>
    <w:rsid w:val="00A4464A"/>
    <w:rsid w:val="00A447A0"/>
    <w:rsid w:val="00A6152E"/>
    <w:rsid w:val="00A71A86"/>
    <w:rsid w:val="00A947C3"/>
    <w:rsid w:val="00A965CE"/>
    <w:rsid w:val="00AA067D"/>
    <w:rsid w:val="00AB2115"/>
    <w:rsid w:val="00AB4138"/>
    <w:rsid w:val="00AC736E"/>
    <w:rsid w:val="00AD2597"/>
    <w:rsid w:val="00AE4192"/>
    <w:rsid w:val="00AE42C6"/>
    <w:rsid w:val="00AF03F5"/>
    <w:rsid w:val="00AF0D20"/>
    <w:rsid w:val="00B10133"/>
    <w:rsid w:val="00B133F5"/>
    <w:rsid w:val="00B223FC"/>
    <w:rsid w:val="00B25668"/>
    <w:rsid w:val="00B3463C"/>
    <w:rsid w:val="00B34CF6"/>
    <w:rsid w:val="00B41B06"/>
    <w:rsid w:val="00B52B88"/>
    <w:rsid w:val="00B53B33"/>
    <w:rsid w:val="00B545DA"/>
    <w:rsid w:val="00B54A98"/>
    <w:rsid w:val="00B550D4"/>
    <w:rsid w:val="00B57D9E"/>
    <w:rsid w:val="00B613D5"/>
    <w:rsid w:val="00B73420"/>
    <w:rsid w:val="00B854D4"/>
    <w:rsid w:val="00B97C30"/>
    <w:rsid w:val="00BA2B04"/>
    <w:rsid w:val="00BB6E72"/>
    <w:rsid w:val="00BC28B3"/>
    <w:rsid w:val="00BD1874"/>
    <w:rsid w:val="00BE0F10"/>
    <w:rsid w:val="00BE27E4"/>
    <w:rsid w:val="00BF5FD4"/>
    <w:rsid w:val="00C0075B"/>
    <w:rsid w:val="00C11A6E"/>
    <w:rsid w:val="00C160AD"/>
    <w:rsid w:val="00C16A72"/>
    <w:rsid w:val="00C20E59"/>
    <w:rsid w:val="00C26FBA"/>
    <w:rsid w:val="00C274ED"/>
    <w:rsid w:val="00C3124C"/>
    <w:rsid w:val="00C475E4"/>
    <w:rsid w:val="00C50191"/>
    <w:rsid w:val="00C50E4F"/>
    <w:rsid w:val="00C531F5"/>
    <w:rsid w:val="00C54E23"/>
    <w:rsid w:val="00C55F0E"/>
    <w:rsid w:val="00C612C8"/>
    <w:rsid w:val="00C6393B"/>
    <w:rsid w:val="00C64C71"/>
    <w:rsid w:val="00C66913"/>
    <w:rsid w:val="00C80A0D"/>
    <w:rsid w:val="00C80BB2"/>
    <w:rsid w:val="00C85C3F"/>
    <w:rsid w:val="00C93797"/>
    <w:rsid w:val="00CA2F0D"/>
    <w:rsid w:val="00CA4288"/>
    <w:rsid w:val="00CA547E"/>
    <w:rsid w:val="00CB243A"/>
    <w:rsid w:val="00CB71EB"/>
    <w:rsid w:val="00CC4AA2"/>
    <w:rsid w:val="00CC6768"/>
    <w:rsid w:val="00CD5C68"/>
    <w:rsid w:val="00CE589D"/>
    <w:rsid w:val="00CE5C68"/>
    <w:rsid w:val="00CF7736"/>
    <w:rsid w:val="00CF7CB3"/>
    <w:rsid w:val="00D10E98"/>
    <w:rsid w:val="00D16784"/>
    <w:rsid w:val="00D206A2"/>
    <w:rsid w:val="00D226FF"/>
    <w:rsid w:val="00D22D40"/>
    <w:rsid w:val="00D2357A"/>
    <w:rsid w:val="00D31DD5"/>
    <w:rsid w:val="00D339F5"/>
    <w:rsid w:val="00D33AAF"/>
    <w:rsid w:val="00D35F8F"/>
    <w:rsid w:val="00D43AF5"/>
    <w:rsid w:val="00D46450"/>
    <w:rsid w:val="00D52912"/>
    <w:rsid w:val="00D52F69"/>
    <w:rsid w:val="00D63E10"/>
    <w:rsid w:val="00D70670"/>
    <w:rsid w:val="00D72A65"/>
    <w:rsid w:val="00D73912"/>
    <w:rsid w:val="00D7473A"/>
    <w:rsid w:val="00D806C3"/>
    <w:rsid w:val="00D931C6"/>
    <w:rsid w:val="00D97775"/>
    <w:rsid w:val="00DA5885"/>
    <w:rsid w:val="00DB5814"/>
    <w:rsid w:val="00DB7ACE"/>
    <w:rsid w:val="00DC5D18"/>
    <w:rsid w:val="00DD3687"/>
    <w:rsid w:val="00DD6B21"/>
    <w:rsid w:val="00DE348C"/>
    <w:rsid w:val="00DE53F8"/>
    <w:rsid w:val="00DE7E26"/>
    <w:rsid w:val="00DF1E58"/>
    <w:rsid w:val="00DF22E2"/>
    <w:rsid w:val="00E006A6"/>
    <w:rsid w:val="00E03201"/>
    <w:rsid w:val="00E13075"/>
    <w:rsid w:val="00E17749"/>
    <w:rsid w:val="00E2021F"/>
    <w:rsid w:val="00E21198"/>
    <w:rsid w:val="00E2422A"/>
    <w:rsid w:val="00E24406"/>
    <w:rsid w:val="00E24589"/>
    <w:rsid w:val="00E27E63"/>
    <w:rsid w:val="00E369A5"/>
    <w:rsid w:val="00E36CCF"/>
    <w:rsid w:val="00E40914"/>
    <w:rsid w:val="00E53E20"/>
    <w:rsid w:val="00E54F76"/>
    <w:rsid w:val="00E6085C"/>
    <w:rsid w:val="00E60938"/>
    <w:rsid w:val="00E73125"/>
    <w:rsid w:val="00E77011"/>
    <w:rsid w:val="00E87829"/>
    <w:rsid w:val="00E9325A"/>
    <w:rsid w:val="00E957B4"/>
    <w:rsid w:val="00EA1D3D"/>
    <w:rsid w:val="00EA2F7C"/>
    <w:rsid w:val="00EA480B"/>
    <w:rsid w:val="00EC3D57"/>
    <w:rsid w:val="00ED716E"/>
    <w:rsid w:val="00EE40F9"/>
    <w:rsid w:val="00EE70B5"/>
    <w:rsid w:val="00EF6D42"/>
    <w:rsid w:val="00F132C3"/>
    <w:rsid w:val="00F203D7"/>
    <w:rsid w:val="00F22FE6"/>
    <w:rsid w:val="00F34EB1"/>
    <w:rsid w:val="00F456AF"/>
    <w:rsid w:val="00F53D60"/>
    <w:rsid w:val="00F575B9"/>
    <w:rsid w:val="00F7539E"/>
    <w:rsid w:val="00F75FD3"/>
    <w:rsid w:val="00F90EF4"/>
    <w:rsid w:val="00FA2AD2"/>
    <w:rsid w:val="00FA55F5"/>
    <w:rsid w:val="00FA5A13"/>
    <w:rsid w:val="00FB5E7C"/>
    <w:rsid w:val="00FB686B"/>
    <w:rsid w:val="00FD596F"/>
    <w:rsid w:val="00FD5DC7"/>
    <w:rsid w:val="00FD6A45"/>
    <w:rsid w:val="00FE1668"/>
    <w:rsid w:val="00FE2D53"/>
    <w:rsid w:val="00FE5167"/>
    <w:rsid w:val="00FE5A77"/>
    <w:rsid w:val="00FF44FF"/>
    <w:rsid w:val="00FF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D080"/>
  <w15:chartTrackingRefBased/>
  <w15:docId w15:val="{18C77003-D1BA-48BE-9316-36678FC2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03986"/>
    <w:pPr>
      <w:spacing w:before="360"/>
      <w:outlineLvl w:val="0"/>
    </w:pPr>
    <w:rPr>
      <w:rFonts w:ascii="Verdana" w:hAnsi="Verdana"/>
      <w:b/>
      <w:bCs/>
      <w:color w:val="0066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03986"/>
    <w:rPr>
      <w:rFonts w:ascii="Verdana" w:hAnsi="Verdana"/>
      <w:b/>
      <w:bCs/>
      <w:color w:val="006699"/>
      <w:sz w:val="32"/>
      <w:szCs w:val="32"/>
    </w:rPr>
  </w:style>
  <w:style w:type="character" w:styleId="Hyperlink">
    <w:name w:val="Hyperlink"/>
    <w:uiPriority w:val="99"/>
    <w:unhideWhenUsed/>
    <w:rsid w:val="00903986"/>
    <w:rPr>
      <w:color w:val="0000FF"/>
      <w:u w:val="single"/>
    </w:rPr>
  </w:style>
  <w:style w:type="character" w:customStyle="1" w:styleId="ExampleChar">
    <w:name w:val="Example Char"/>
    <w:link w:val="Example"/>
    <w:locked/>
    <w:rsid w:val="00903986"/>
    <w:rPr>
      <w:rFonts w:ascii="Verdana" w:hAnsi="Verdana" w:cs="Verdana"/>
      <w:sz w:val="24"/>
      <w:szCs w:val="24"/>
    </w:rPr>
  </w:style>
  <w:style w:type="paragraph" w:customStyle="1" w:styleId="Example">
    <w:name w:val="Example"/>
    <w:basedOn w:val="Normal"/>
    <w:link w:val="ExampleChar"/>
    <w:qFormat/>
    <w:rsid w:val="00903986"/>
    <w:pPr>
      <w:pBdr>
        <w:top w:val="single" w:sz="4" w:space="1" w:color="auto"/>
        <w:left w:val="single" w:sz="4" w:space="4" w:color="auto"/>
        <w:bottom w:val="single" w:sz="4" w:space="1" w:color="auto"/>
        <w:right w:val="single" w:sz="4" w:space="4" w:color="auto"/>
      </w:pBdr>
      <w:spacing w:before="120"/>
    </w:pPr>
    <w:rPr>
      <w:rFonts w:ascii="Verdana" w:hAnsi="Verdana" w:cs="Verdana"/>
    </w:rPr>
  </w:style>
  <w:style w:type="character" w:customStyle="1" w:styleId="BulletChar">
    <w:name w:val="Bullet Char"/>
    <w:link w:val="Bullet"/>
    <w:locked/>
    <w:rsid w:val="00903986"/>
    <w:rPr>
      <w:rFonts w:ascii="Verdana" w:hAnsi="Verdana" w:cs="Verdana"/>
      <w:sz w:val="24"/>
      <w:szCs w:val="24"/>
    </w:rPr>
  </w:style>
  <w:style w:type="paragraph" w:customStyle="1" w:styleId="Bullet">
    <w:name w:val="Bullet"/>
    <w:basedOn w:val="Normal"/>
    <w:link w:val="BulletChar"/>
    <w:qFormat/>
    <w:rsid w:val="00903986"/>
    <w:pPr>
      <w:numPr>
        <w:numId w:val="8"/>
      </w:numPr>
      <w:spacing w:before="120"/>
      <w:ind w:left="357" w:hanging="357"/>
      <w:contextualSpacing/>
    </w:pPr>
    <w:rPr>
      <w:rFonts w:ascii="Verdana" w:hAnsi="Verdana" w:cs="Verdana"/>
    </w:rPr>
  </w:style>
  <w:style w:type="character" w:styleId="Strong">
    <w:name w:val="Strong"/>
    <w:uiPriority w:val="22"/>
    <w:qFormat/>
    <w:rsid w:val="00CE589D"/>
    <w:rPr>
      <w:b/>
      <w:bCs/>
    </w:rPr>
  </w:style>
  <w:style w:type="paragraph" w:styleId="FootnoteText">
    <w:name w:val="footnote text"/>
    <w:basedOn w:val="Normal"/>
    <w:semiHidden/>
    <w:rsid w:val="000E5108"/>
    <w:rPr>
      <w:sz w:val="20"/>
      <w:szCs w:val="20"/>
    </w:rPr>
  </w:style>
  <w:style w:type="character" w:styleId="FootnoteReference">
    <w:name w:val="footnote reference"/>
    <w:semiHidden/>
    <w:rsid w:val="000E5108"/>
    <w:rPr>
      <w:vertAlign w:val="superscript"/>
    </w:rPr>
  </w:style>
  <w:style w:type="paragraph" w:styleId="Header">
    <w:name w:val="header"/>
    <w:basedOn w:val="Normal"/>
    <w:rsid w:val="00FB686B"/>
    <w:pPr>
      <w:tabs>
        <w:tab w:val="center" w:pos="4153"/>
        <w:tab w:val="right" w:pos="8306"/>
      </w:tabs>
    </w:pPr>
  </w:style>
  <w:style w:type="paragraph" w:styleId="Footer">
    <w:name w:val="footer"/>
    <w:basedOn w:val="Normal"/>
    <w:rsid w:val="00FB686B"/>
    <w:pPr>
      <w:tabs>
        <w:tab w:val="center" w:pos="4153"/>
        <w:tab w:val="right" w:pos="8306"/>
      </w:tabs>
    </w:pPr>
  </w:style>
  <w:style w:type="paragraph" w:styleId="BalloonText">
    <w:name w:val="Balloon Text"/>
    <w:basedOn w:val="Normal"/>
    <w:semiHidden/>
    <w:rsid w:val="007E7595"/>
    <w:rPr>
      <w:rFonts w:ascii="Tahoma" w:hAnsi="Tahoma" w:cs="Tahoma"/>
      <w:sz w:val="16"/>
      <w:szCs w:val="16"/>
    </w:rPr>
  </w:style>
  <w:style w:type="character" w:styleId="FollowedHyperlink">
    <w:name w:val="FollowedHyperlink"/>
    <w:rsid w:val="00A6152E"/>
    <w:rPr>
      <w:color w:val="954F72"/>
      <w:u w:val="single"/>
    </w:rPr>
  </w:style>
  <w:style w:type="paragraph" w:styleId="ListParagraph">
    <w:name w:val="List Paragraph"/>
    <w:basedOn w:val="Normal"/>
    <w:uiPriority w:val="34"/>
    <w:qFormat/>
    <w:rsid w:val="0009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21730">
      <w:bodyDiv w:val="1"/>
      <w:marLeft w:val="0"/>
      <w:marRight w:val="0"/>
      <w:marTop w:val="0"/>
      <w:marBottom w:val="0"/>
      <w:divBdr>
        <w:top w:val="none" w:sz="0" w:space="0" w:color="auto"/>
        <w:left w:val="none" w:sz="0" w:space="0" w:color="auto"/>
        <w:bottom w:val="none" w:sz="0" w:space="0" w:color="auto"/>
        <w:right w:val="none" w:sz="0" w:space="0" w:color="auto"/>
      </w:divBdr>
    </w:div>
    <w:div w:id="154684397">
      <w:bodyDiv w:val="1"/>
      <w:marLeft w:val="0"/>
      <w:marRight w:val="0"/>
      <w:marTop w:val="0"/>
      <w:marBottom w:val="0"/>
      <w:divBdr>
        <w:top w:val="none" w:sz="0" w:space="0" w:color="auto"/>
        <w:left w:val="none" w:sz="0" w:space="0" w:color="auto"/>
        <w:bottom w:val="none" w:sz="0" w:space="0" w:color="auto"/>
        <w:right w:val="none" w:sz="0" w:space="0" w:color="auto"/>
      </w:divBdr>
    </w:div>
    <w:div w:id="306592342">
      <w:bodyDiv w:val="1"/>
      <w:marLeft w:val="0"/>
      <w:marRight w:val="0"/>
      <w:marTop w:val="0"/>
      <w:marBottom w:val="0"/>
      <w:divBdr>
        <w:top w:val="none" w:sz="0" w:space="0" w:color="auto"/>
        <w:left w:val="none" w:sz="0" w:space="0" w:color="auto"/>
        <w:bottom w:val="none" w:sz="0" w:space="0" w:color="auto"/>
        <w:right w:val="none" w:sz="0" w:space="0" w:color="auto"/>
      </w:divBdr>
    </w:div>
    <w:div w:id="374544096">
      <w:bodyDiv w:val="1"/>
      <w:marLeft w:val="0"/>
      <w:marRight w:val="0"/>
      <w:marTop w:val="0"/>
      <w:marBottom w:val="0"/>
      <w:divBdr>
        <w:top w:val="none" w:sz="0" w:space="0" w:color="auto"/>
        <w:left w:val="none" w:sz="0" w:space="0" w:color="auto"/>
        <w:bottom w:val="none" w:sz="0" w:space="0" w:color="auto"/>
        <w:right w:val="none" w:sz="0" w:space="0" w:color="auto"/>
      </w:divBdr>
    </w:div>
    <w:div w:id="418718435">
      <w:bodyDiv w:val="1"/>
      <w:marLeft w:val="0"/>
      <w:marRight w:val="0"/>
      <w:marTop w:val="0"/>
      <w:marBottom w:val="0"/>
      <w:divBdr>
        <w:top w:val="none" w:sz="0" w:space="0" w:color="auto"/>
        <w:left w:val="none" w:sz="0" w:space="0" w:color="auto"/>
        <w:bottom w:val="none" w:sz="0" w:space="0" w:color="auto"/>
        <w:right w:val="none" w:sz="0" w:space="0" w:color="auto"/>
      </w:divBdr>
    </w:div>
    <w:div w:id="571158180">
      <w:bodyDiv w:val="1"/>
      <w:marLeft w:val="0"/>
      <w:marRight w:val="0"/>
      <w:marTop w:val="0"/>
      <w:marBottom w:val="0"/>
      <w:divBdr>
        <w:top w:val="none" w:sz="0" w:space="0" w:color="auto"/>
        <w:left w:val="none" w:sz="0" w:space="0" w:color="auto"/>
        <w:bottom w:val="none" w:sz="0" w:space="0" w:color="auto"/>
        <w:right w:val="none" w:sz="0" w:space="0" w:color="auto"/>
      </w:divBdr>
    </w:div>
    <w:div w:id="580875261">
      <w:bodyDiv w:val="1"/>
      <w:marLeft w:val="0"/>
      <w:marRight w:val="0"/>
      <w:marTop w:val="0"/>
      <w:marBottom w:val="0"/>
      <w:divBdr>
        <w:top w:val="none" w:sz="0" w:space="0" w:color="auto"/>
        <w:left w:val="none" w:sz="0" w:space="0" w:color="auto"/>
        <w:bottom w:val="none" w:sz="0" w:space="0" w:color="auto"/>
        <w:right w:val="none" w:sz="0" w:space="0" w:color="auto"/>
      </w:divBdr>
    </w:div>
    <w:div w:id="678822164">
      <w:bodyDiv w:val="1"/>
      <w:marLeft w:val="0"/>
      <w:marRight w:val="0"/>
      <w:marTop w:val="0"/>
      <w:marBottom w:val="0"/>
      <w:divBdr>
        <w:top w:val="none" w:sz="0" w:space="0" w:color="auto"/>
        <w:left w:val="none" w:sz="0" w:space="0" w:color="auto"/>
        <w:bottom w:val="none" w:sz="0" w:space="0" w:color="auto"/>
        <w:right w:val="none" w:sz="0" w:space="0" w:color="auto"/>
      </w:divBdr>
    </w:div>
    <w:div w:id="892539692">
      <w:bodyDiv w:val="1"/>
      <w:marLeft w:val="0"/>
      <w:marRight w:val="0"/>
      <w:marTop w:val="0"/>
      <w:marBottom w:val="0"/>
      <w:divBdr>
        <w:top w:val="none" w:sz="0" w:space="0" w:color="auto"/>
        <w:left w:val="none" w:sz="0" w:space="0" w:color="auto"/>
        <w:bottom w:val="none" w:sz="0" w:space="0" w:color="auto"/>
        <w:right w:val="none" w:sz="0" w:space="0" w:color="auto"/>
      </w:divBdr>
    </w:div>
    <w:div w:id="1088037895">
      <w:bodyDiv w:val="1"/>
      <w:marLeft w:val="0"/>
      <w:marRight w:val="0"/>
      <w:marTop w:val="0"/>
      <w:marBottom w:val="0"/>
      <w:divBdr>
        <w:top w:val="none" w:sz="0" w:space="0" w:color="auto"/>
        <w:left w:val="none" w:sz="0" w:space="0" w:color="auto"/>
        <w:bottom w:val="none" w:sz="0" w:space="0" w:color="auto"/>
        <w:right w:val="none" w:sz="0" w:space="0" w:color="auto"/>
      </w:divBdr>
    </w:div>
    <w:div w:id="1117137189">
      <w:bodyDiv w:val="1"/>
      <w:marLeft w:val="0"/>
      <w:marRight w:val="0"/>
      <w:marTop w:val="0"/>
      <w:marBottom w:val="0"/>
      <w:divBdr>
        <w:top w:val="none" w:sz="0" w:space="0" w:color="auto"/>
        <w:left w:val="none" w:sz="0" w:space="0" w:color="auto"/>
        <w:bottom w:val="none" w:sz="0" w:space="0" w:color="auto"/>
        <w:right w:val="none" w:sz="0" w:space="0" w:color="auto"/>
      </w:divBdr>
    </w:div>
    <w:div w:id="1287195388">
      <w:bodyDiv w:val="1"/>
      <w:marLeft w:val="0"/>
      <w:marRight w:val="0"/>
      <w:marTop w:val="0"/>
      <w:marBottom w:val="0"/>
      <w:divBdr>
        <w:top w:val="none" w:sz="0" w:space="0" w:color="auto"/>
        <w:left w:val="none" w:sz="0" w:space="0" w:color="auto"/>
        <w:bottom w:val="none" w:sz="0" w:space="0" w:color="auto"/>
        <w:right w:val="none" w:sz="0" w:space="0" w:color="auto"/>
      </w:divBdr>
    </w:div>
    <w:div w:id="1314290531">
      <w:bodyDiv w:val="1"/>
      <w:marLeft w:val="0"/>
      <w:marRight w:val="0"/>
      <w:marTop w:val="0"/>
      <w:marBottom w:val="0"/>
      <w:divBdr>
        <w:top w:val="none" w:sz="0" w:space="0" w:color="auto"/>
        <w:left w:val="none" w:sz="0" w:space="0" w:color="auto"/>
        <w:bottom w:val="none" w:sz="0" w:space="0" w:color="auto"/>
        <w:right w:val="none" w:sz="0" w:space="0" w:color="auto"/>
      </w:divBdr>
    </w:div>
    <w:div w:id="1428502829">
      <w:bodyDiv w:val="1"/>
      <w:marLeft w:val="0"/>
      <w:marRight w:val="0"/>
      <w:marTop w:val="0"/>
      <w:marBottom w:val="0"/>
      <w:divBdr>
        <w:top w:val="none" w:sz="0" w:space="0" w:color="auto"/>
        <w:left w:val="none" w:sz="0" w:space="0" w:color="auto"/>
        <w:bottom w:val="none" w:sz="0" w:space="0" w:color="auto"/>
        <w:right w:val="none" w:sz="0" w:space="0" w:color="auto"/>
      </w:divBdr>
    </w:div>
    <w:div w:id="1629703603">
      <w:bodyDiv w:val="1"/>
      <w:marLeft w:val="0"/>
      <w:marRight w:val="0"/>
      <w:marTop w:val="0"/>
      <w:marBottom w:val="0"/>
      <w:divBdr>
        <w:top w:val="none" w:sz="0" w:space="0" w:color="auto"/>
        <w:left w:val="none" w:sz="0" w:space="0" w:color="auto"/>
        <w:bottom w:val="none" w:sz="0" w:space="0" w:color="auto"/>
        <w:right w:val="none" w:sz="0" w:space="0" w:color="auto"/>
      </w:divBdr>
    </w:div>
    <w:div w:id="1758092679">
      <w:bodyDiv w:val="1"/>
      <w:marLeft w:val="0"/>
      <w:marRight w:val="0"/>
      <w:marTop w:val="0"/>
      <w:marBottom w:val="0"/>
      <w:divBdr>
        <w:top w:val="none" w:sz="0" w:space="0" w:color="auto"/>
        <w:left w:val="none" w:sz="0" w:space="0" w:color="auto"/>
        <w:bottom w:val="none" w:sz="0" w:space="0" w:color="auto"/>
        <w:right w:val="none" w:sz="0" w:space="0" w:color="auto"/>
      </w:divBdr>
    </w:div>
    <w:div w:id="1895315567">
      <w:bodyDiv w:val="1"/>
      <w:marLeft w:val="0"/>
      <w:marRight w:val="0"/>
      <w:marTop w:val="0"/>
      <w:marBottom w:val="0"/>
      <w:divBdr>
        <w:top w:val="none" w:sz="0" w:space="0" w:color="auto"/>
        <w:left w:val="none" w:sz="0" w:space="0" w:color="auto"/>
        <w:bottom w:val="none" w:sz="0" w:space="0" w:color="auto"/>
        <w:right w:val="none" w:sz="0" w:space="0" w:color="auto"/>
      </w:divBdr>
    </w:div>
    <w:div w:id="20504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4e9c7c-dd43-41cd-b7a9-0c589775a953" xsi:nil="true"/>
    <lcf76f155ced4ddcb4097134ff3c332f xmlns="2d5693bf-37de-4a02-9094-29265b09aa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3DB0D33BB1E4B9176053164CFD6C4" ma:contentTypeVersion="20" ma:contentTypeDescription="Create a new document." ma:contentTypeScope="" ma:versionID="a83d6771b6335a270a845eb453571eb8">
  <xsd:schema xmlns:xsd="http://www.w3.org/2001/XMLSchema" xmlns:xs="http://www.w3.org/2001/XMLSchema" xmlns:p="http://schemas.microsoft.com/office/2006/metadata/properties" xmlns:ns2="2d5693bf-37de-4a02-9094-29265b09aa8d" xmlns:ns3="db4e9c7c-dd43-41cd-b7a9-0c589775a953" targetNamespace="http://schemas.microsoft.com/office/2006/metadata/properties" ma:root="true" ma:fieldsID="3c74d4b9832b070ae508b4929543dbb7" ns2:_="" ns3:_="">
    <xsd:import namespace="2d5693bf-37de-4a02-9094-29265b09aa8d"/>
    <xsd:import namespace="db4e9c7c-dd43-41cd-b7a9-0c589775a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693bf-37de-4a02-9094-29265b09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6642f3-77b2-4a11-8f32-88098b443f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e9c7c-dd43-41cd-b7a9-0c589775a9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4e8cc5-02a1-47ec-9983-cdb9d32b6835}" ma:internalName="TaxCatchAll" ma:showField="CatchAllData" ma:web="db4e9c7c-dd43-41cd-b7a9-0c589775a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9D05-6C6B-4295-BC8D-AAE893FAD15A}">
  <ds:schemaRefs>
    <ds:schemaRef ds:uri="http://schemas.microsoft.com/office/2006/metadata/properties"/>
    <ds:schemaRef ds:uri="http://schemas.microsoft.com/office/infopath/2007/PartnerControls"/>
    <ds:schemaRef ds:uri="db4e9c7c-dd43-41cd-b7a9-0c589775a953"/>
    <ds:schemaRef ds:uri="2d5693bf-37de-4a02-9094-29265b09aa8d"/>
  </ds:schemaRefs>
</ds:datastoreItem>
</file>

<file path=customXml/itemProps2.xml><?xml version="1.0" encoding="utf-8"?>
<ds:datastoreItem xmlns:ds="http://schemas.openxmlformats.org/officeDocument/2006/customXml" ds:itemID="{887E64C3-4AB1-4B65-A391-F0522AC1B64A}">
  <ds:schemaRefs>
    <ds:schemaRef ds:uri="http://schemas.microsoft.com/sharepoint/v3/contenttype/forms"/>
  </ds:schemaRefs>
</ds:datastoreItem>
</file>

<file path=customXml/itemProps3.xml><?xml version="1.0" encoding="utf-8"?>
<ds:datastoreItem xmlns:ds="http://schemas.openxmlformats.org/officeDocument/2006/customXml" ds:itemID="{D300EDF0-46DD-43F5-BA31-22F45FC8E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693bf-37de-4a02-9094-29265b09aa8d"/>
    <ds:schemaRef ds:uri="db4e9c7c-dd43-41cd-b7a9-0c589775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C1829-29CA-439A-9DBB-963EE6AE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Gender Pay Gap Reporting – Procedure to calculate information for disclosure</vt:lpstr>
    </vt:vector>
  </TitlesOfParts>
  <Company/>
  <LinksUpToDate>false</LinksUpToDate>
  <CharactersWithSpaces>6204</CharactersWithSpaces>
  <SharedDoc>false</SharedDoc>
  <HLinks>
    <vt:vector size="30" baseType="variant">
      <vt:variant>
        <vt:i4>6619237</vt:i4>
      </vt:variant>
      <vt:variant>
        <vt:i4>12</vt:i4>
      </vt:variant>
      <vt:variant>
        <vt:i4>0</vt:i4>
      </vt:variant>
      <vt:variant>
        <vt:i4>5</vt:i4>
      </vt:variant>
      <vt:variant>
        <vt:lpwstr>https://www.cipd.co.uk/knowledge/fundamentals/relations/gender-pay-gap-reporting/guide</vt:lpwstr>
      </vt:variant>
      <vt:variant>
        <vt:lpwstr/>
      </vt:variant>
      <vt:variant>
        <vt:i4>1572888</vt:i4>
      </vt:variant>
      <vt:variant>
        <vt:i4>9</vt:i4>
      </vt:variant>
      <vt:variant>
        <vt:i4>0</vt:i4>
      </vt:variant>
      <vt:variant>
        <vt:i4>5</vt:i4>
      </vt:variant>
      <vt:variant>
        <vt:lpwstr>https://genderpaygap.campaign.gov.uk/</vt:lpwstr>
      </vt:variant>
      <vt:variant>
        <vt:lpwstr/>
      </vt:variant>
      <vt:variant>
        <vt:i4>6094921</vt:i4>
      </vt:variant>
      <vt:variant>
        <vt:i4>6</vt:i4>
      </vt:variant>
      <vt:variant>
        <vt:i4>0</vt:i4>
      </vt:variant>
      <vt:variant>
        <vt:i4>5</vt:i4>
      </vt:variant>
      <vt:variant>
        <vt:lpwstr>http://www.equalpayportal.co.uk/gender-pay-gap-reporting/</vt:lpwstr>
      </vt:variant>
      <vt:variant>
        <vt:lpwstr/>
      </vt:variant>
      <vt:variant>
        <vt:i4>262227</vt:i4>
      </vt:variant>
      <vt:variant>
        <vt:i4>3</vt:i4>
      </vt:variant>
      <vt:variant>
        <vt:i4>0</vt:i4>
      </vt:variant>
      <vt:variant>
        <vt:i4>5</vt:i4>
      </vt:variant>
      <vt:variant>
        <vt:lpwstr>https://gender-pay-gap.service.gov.uk/Viewing/search-results</vt:lpwstr>
      </vt:variant>
      <vt:variant>
        <vt:lpwstr/>
      </vt:variant>
      <vt:variant>
        <vt:i4>262227</vt:i4>
      </vt:variant>
      <vt:variant>
        <vt:i4>0</vt:i4>
      </vt:variant>
      <vt:variant>
        <vt:i4>0</vt:i4>
      </vt:variant>
      <vt:variant>
        <vt:i4>5</vt:i4>
      </vt:variant>
      <vt:variant>
        <vt:lpwstr>https://gender-pay-gap.service.gov.uk/Viewing/search-results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2020 Report.docx</dc:title>
  <dc:subject/>
  <dc:creator>ccornford</dc:creator>
  <cp:keywords/>
  <dc:description/>
  <cp:lastModifiedBy>Becci Lloyd</cp:lastModifiedBy>
  <cp:revision>74</cp:revision>
  <cp:lastPrinted>2019-03-06T14:57:00Z</cp:lastPrinted>
  <dcterms:created xsi:type="dcterms:W3CDTF">2024-03-22T09:31:00Z</dcterms:created>
  <dcterms:modified xsi:type="dcterms:W3CDTF">2024-03-22T16:15:00Z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0x0101004F53DB0D33BB1E4B9176053164CFD6C4</vt:lpwstr>
  </property>
  <property fmtid="{D5CDD505-2E9C-101B-9397-08002B2CF9AE}" pid="3" name="MediaServiceImageTags">
    <vt:lpwstr/>
  </property>
</Properties>
</file>